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02" w:rsidRDefault="00DC0702"/>
    <w:p w:rsidR="00B74536" w:rsidRDefault="00A977A1" w:rsidP="00CD4C33">
      <w:pPr>
        <w:tabs>
          <w:tab w:val="left" w:pos="7555"/>
        </w:tabs>
      </w:pPr>
      <w:r>
        <w:tab/>
      </w:r>
    </w:p>
    <w:p w:rsidR="00B74536" w:rsidRDefault="00CD4C33" w:rsidP="00CD4C33">
      <w:pPr>
        <w:tabs>
          <w:tab w:val="left" w:pos="7555"/>
        </w:tabs>
        <w:jc w:val="center"/>
      </w:pPr>
      <w:r>
        <w:t>BANDO DI VARIAZIONE DI POSTEGGI NEL M</w:t>
      </w:r>
      <w:r w:rsidR="004D77F7">
        <w:t>ERCATO SETTIMANALE DEL MERCOLEDI</w:t>
      </w:r>
      <w:r>
        <w:t xml:space="preserve"> DEL COMUNE DI FRAGAGNANO (TA) A SEGUITO DI MIGLIORIA</w:t>
      </w:r>
    </w:p>
    <w:p w:rsidR="00CD4C33" w:rsidRDefault="00CD4C33" w:rsidP="008158CA">
      <w:pPr>
        <w:tabs>
          <w:tab w:val="left" w:pos="7555"/>
        </w:tabs>
        <w:jc w:val="center"/>
      </w:pPr>
      <w:r>
        <w:t>Il Responsabile dell’Ufficio Attività Produttive-Suap</w:t>
      </w:r>
    </w:p>
    <w:p w:rsidR="00A30548" w:rsidRDefault="00A30548" w:rsidP="00CD4C33">
      <w:pPr>
        <w:tabs>
          <w:tab w:val="left" w:pos="7555"/>
        </w:tabs>
      </w:pPr>
    </w:p>
    <w:p w:rsidR="00A30548" w:rsidRDefault="00A30548" w:rsidP="00A30548">
      <w:pPr>
        <w:tabs>
          <w:tab w:val="left" w:pos="7555"/>
        </w:tabs>
        <w:jc w:val="both"/>
      </w:pPr>
      <w:r w:rsidRPr="00A30548">
        <w:rPr>
          <w:b/>
        </w:rPr>
        <w:t>Visto</w:t>
      </w:r>
      <w:r>
        <w:t xml:space="preserve"> il Decreto Legislativo 31 Marzo 1998 n. 114 “Riforma della disciplina relativa al settore del commercio a norma dell’art. 4 comma 4 della legge 15.03.1997 n. 59” e ss.mm.ii.;</w:t>
      </w:r>
    </w:p>
    <w:p w:rsidR="00A30548" w:rsidRDefault="00A30548" w:rsidP="00A30548">
      <w:pPr>
        <w:tabs>
          <w:tab w:val="left" w:pos="7555"/>
        </w:tabs>
        <w:jc w:val="both"/>
      </w:pPr>
      <w:r w:rsidRPr="00A30548">
        <w:rPr>
          <w:b/>
        </w:rPr>
        <w:t>Vista</w:t>
      </w:r>
      <w:r>
        <w:t xml:space="preserve"> la </w:t>
      </w:r>
      <w:r w:rsidRPr="00A30548">
        <w:t>Legge regionale  16-04-2015, n. 24</w:t>
      </w:r>
      <w:r>
        <w:t xml:space="preserve"> “Codice del Commercio”;</w:t>
      </w:r>
    </w:p>
    <w:p w:rsidR="00A30548" w:rsidRDefault="00A30548" w:rsidP="00A30548">
      <w:pPr>
        <w:tabs>
          <w:tab w:val="left" w:pos="7555"/>
        </w:tabs>
        <w:jc w:val="both"/>
      </w:pPr>
      <w:r w:rsidRPr="00A30548">
        <w:rPr>
          <w:b/>
        </w:rPr>
        <w:t>Visto</w:t>
      </w:r>
      <w:r>
        <w:t xml:space="preserve"> il “Documento Strategico Diffuso del Commercio</w:t>
      </w:r>
      <w:r w:rsidR="008158CA">
        <w:t>”</w:t>
      </w:r>
      <w:r>
        <w:t xml:space="preserve"> redatto dall'Unione dei Comuni delle Terre del Mare e del Sole” approvato con D.C.C. n. 21 del 2019;</w:t>
      </w:r>
    </w:p>
    <w:p w:rsidR="008158CA" w:rsidRDefault="008158CA" w:rsidP="00A30548">
      <w:pPr>
        <w:tabs>
          <w:tab w:val="left" w:pos="7555"/>
        </w:tabs>
        <w:jc w:val="both"/>
      </w:pPr>
      <w:r w:rsidRPr="00A30548">
        <w:rPr>
          <w:b/>
        </w:rPr>
        <w:t>Visto</w:t>
      </w:r>
      <w:r>
        <w:t xml:space="preserve"> il “Documento Strategico Diffuso del Commercio del Comune di Fragagnano</w:t>
      </w:r>
      <w:r w:rsidR="00B542A0">
        <w:t xml:space="preserve"> </w:t>
      </w:r>
      <w:r>
        <w:t>” approvato con D.C.C. n. 36 del 29/07/2021</w:t>
      </w:r>
    </w:p>
    <w:p w:rsidR="00A30548" w:rsidRDefault="00A30548" w:rsidP="00A30548">
      <w:pPr>
        <w:tabs>
          <w:tab w:val="left" w:pos="7555"/>
        </w:tabs>
        <w:jc w:val="both"/>
        <w:rPr>
          <w:b/>
        </w:rPr>
      </w:pPr>
      <w:r w:rsidRPr="00A30548">
        <w:rPr>
          <w:b/>
        </w:rPr>
        <w:t>Considerato</w:t>
      </w:r>
    </w:p>
    <w:p w:rsidR="00A30548" w:rsidRDefault="00A30548" w:rsidP="00A30548">
      <w:pPr>
        <w:tabs>
          <w:tab w:val="left" w:pos="7555"/>
        </w:tabs>
        <w:jc w:val="both"/>
      </w:pPr>
      <w:r>
        <w:rPr>
          <w:b/>
        </w:rPr>
        <w:t>-</w:t>
      </w:r>
      <w:r>
        <w:t xml:space="preserve"> che attualmente alcuni posteggi delle aree mercatali risultano vacanti a seguito di rinunce e di decadenze di concessioni;</w:t>
      </w:r>
    </w:p>
    <w:p w:rsidR="00A30548" w:rsidRDefault="00A30548" w:rsidP="00A30548">
      <w:pPr>
        <w:tabs>
          <w:tab w:val="left" w:pos="7555"/>
        </w:tabs>
        <w:jc w:val="both"/>
      </w:pPr>
      <w:r>
        <w:t>- che occorre assicurare, tramite una procedura ad evidenza pubblica, a tutti gli operatori concessionari dei posteggi dei mercati, la possibilità di effettuare la miglioria del proprio posteggio ai sensi dell’art. 3 lettera L  del citato “Documento Strategico Diffuso del Commercio redatto dall'Unione dei Comuni delle Terre del Mare e del Sole”;</w:t>
      </w:r>
    </w:p>
    <w:p w:rsidR="00CD4C33" w:rsidRDefault="00A30548" w:rsidP="00A30548">
      <w:pPr>
        <w:tabs>
          <w:tab w:val="left" w:pos="7555"/>
        </w:tabs>
        <w:jc w:val="both"/>
      </w:pPr>
      <w:r w:rsidRPr="00A30548">
        <w:rPr>
          <w:b/>
        </w:rPr>
        <w:t>Vista</w:t>
      </w:r>
      <w:r>
        <w:t xml:space="preserve"> la determinazione dirigenziale </w:t>
      </w:r>
      <w:r w:rsidRPr="00D50E20">
        <w:t>n° /2022</w:t>
      </w:r>
      <w:r>
        <w:t xml:space="preserve"> che contestualmente definisce i posteggi liberi per settore merceologico ed approva il bando per la procedura di miglioria riservato agli operatori titolari di concessione di posteggi del mercato settimanale;</w:t>
      </w:r>
    </w:p>
    <w:p w:rsidR="00CD4C33" w:rsidRDefault="00CD4C33" w:rsidP="00CD4C33">
      <w:pPr>
        <w:tabs>
          <w:tab w:val="left" w:pos="7555"/>
        </w:tabs>
      </w:pPr>
    </w:p>
    <w:p w:rsidR="00CD4C33" w:rsidRDefault="00CD4C33" w:rsidP="00CD4C33">
      <w:pPr>
        <w:pStyle w:val="Default"/>
      </w:pPr>
    </w:p>
    <w:p w:rsidR="00CD4C33" w:rsidRPr="00CD4C33" w:rsidRDefault="00CD4C33" w:rsidP="00CD4C33">
      <w:pPr>
        <w:tabs>
          <w:tab w:val="left" w:pos="7555"/>
        </w:tabs>
        <w:jc w:val="center"/>
        <w:rPr>
          <w:b/>
        </w:rPr>
      </w:pPr>
      <w:r w:rsidRPr="00CD4C33">
        <w:rPr>
          <w:b/>
        </w:rPr>
        <w:t>RENDE NOTO</w:t>
      </w:r>
    </w:p>
    <w:p w:rsidR="00CD4C33" w:rsidRDefault="00CD4C33" w:rsidP="00F47FA4">
      <w:pPr>
        <w:tabs>
          <w:tab w:val="left" w:pos="7555"/>
        </w:tabs>
        <w:jc w:val="both"/>
      </w:pPr>
      <w:r>
        <w:t xml:space="preserve">Che è </w:t>
      </w:r>
      <w:r w:rsidR="005867FF">
        <w:t>che è indetto un bando pubblico, per la partecipazione alla</w:t>
      </w:r>
      <w:r>
        <w:t xml:space="preserve"> procedura di miglioria</w:t>
      </w:r>
      <w:r w:rsidR="005867FF">
        <w:t>,</w:t>
      </w:r>
      <w:r>
        <w:t xml:space="preserve"> riservata agli operatori titolari di concessione di posteggio nel mercato settimanale del Mercoledì in Fragagnano (TA) interessati a migliorare la propria collocazione nel rispetto dello specifico settore e categoria merceologica di appartene</w:t>
      </w:r>
      <w:r w:rsidR="00B4485D">
        <w:t xml:space="preserve">nza, tenuto conto che ai fini del presente bando </w:t>
      </w:r>
      <w:r>
        <w:t>i seguenti posteggi vacanti</w:t>
      </w:r>
      <w:r w:rsidR="00B4485D">
        <w:t xml:space="preserve"> </w:t>
      </w:r>
      <w:r w:rsidR="00B4485D" w:rsidRPr="00B4485D">
        <w:rPr>
          <w:b/>
        </w:rPr>
        <w:t>non sono utilizzabili</w:t>
      </w:r>
      <w:r>
        <w:t>:</w:t>
      </w:r>
    </w:p>
    <w:p w:rsidR="00B4485D" w:rsidRDefault="00B4485D" w:rsidP="00F47FA4">
      <w:pPr>
        <w:tabs>
          <w:tab w:val="left" w:pos="7555"/>
        </w:tabs>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268"/>
        <w:gridCol w:w="1559"/>
        <w:gridCol w:w="4001"/>
      </w:tblGrid>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Numero Posteggio</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Tipologia</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 xml:space="preserve">MQ </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Ubicazione</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6</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Non 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4x8</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Viale della Libertà</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10</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Non 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4x3</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Viale della Libertà</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17</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Non 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4x9</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Viale della Libertà</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21</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Non 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4x8</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Catone</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lastRenderedPageBreak/>
              <w:t>22</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Non 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4x7</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Catone</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23</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Non 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4x10</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Catone</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29</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4x8</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O. Flacco</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34</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4x6</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O. Flacco</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35</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4x4</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O. Flacco</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36</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4x5</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O. Flacco</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37</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4x3</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O. Flacco</w:t>
            </w:r>
          </w:p>
        </w:tc>
      </w:tr>
      <w:tr w:rsidR="00B4485D" w:rsidRPr="00725902" w:rsidTr="00215F2E">
        <w:tc>
          <w:tcPr>
            <w:tcW w:w="1701" w:type="dxa"/>
            <w:shd w:val="clear" w:color="auto" w:fill="auto"/>
          </w:tcPr>
          <w:p w:rsidR="00B4485D" w:rsidRPr="00725902" w:rsidRDefault="00B4485D" w:rsidP="00215F2E">
            <w:pPr>
              <w:tabs>
                <w:tab w:val="left" w:pos="142"/>
              </w:tabs>
              <w:spacing w:before="100" w:beforeAutospacing="1" w:after="100" w:afterAutospacing="1"/>
              <w:jc w:val="both"/>
            </w:pPr>
            <w:r w:rsidRPr="00725902">
              <w:t>38</w:t>
            </w:r>
          </w:p>
        </w:tc>
        <w:tc>
          <w:tcPr>
            <w:tcW w:w="2268" w:type="dxa"/>
            <w:shd w:val="clear" w:color="auto" w:fill="auto"/>
          </w:tcPr>
          <w:p w:rsidR="00B4485D" w:rsidRPr="00725902" w:rsidRDefault="00B4485D" w:rsidP="00215F2E">
            <w:pPr>
              <w:tabs>
                <w:tab w:val="left" w:pos="142"/>
              </w:tabs>
              <w:spacing w:before="100" w:beforeAutospacing="1" w:after="100" w:afterAutospacing="1"/>
              <w:jc w:val="both"/>
            </w:pPr>
            <w:r w:rsidRPr="00725902">
              <w:t>Alimentare</w:t>
            </w:r>
          </w:p>
        </w:tc>
        <w:tc>
          <w:tcPr>
            <w:tcW w:w="1559" w:type="dxa"/>
            <w:tcBorders>
              <w:righ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rsidRPr="00725902">
              <w:t>4x7</w:t>
            </w:r>
          </w:p>
        </w:tc>
        <w:tc>
          <w:tcPr>
            <w:tcW w:w="4001" w:type="dxa"/>
            <w:tcBorders>
              <w:left w:val="single" w:sz="4" w:space="0" w:color="auto"/>
            </w:tcBorders>
            <w:shd w:val="clear" w:color="auto" w:fill="auto"/>
          </w:tcPr>
          <w:p w:rsidR="00B4485D" w:rsidRPr="00725902" w:rsidRDefault="00B4485D" w:rsidP="00215F2E">
            <w:pPr>
              <w:tabs>
                <w:tab w:val="left" w:pos="142"/>
              </w:tabs>
              <w:spacing w:before="100" w:beforeAutospacing="1" w:after="100" w:afterAutospacing="1"/>
              <w:jc w:val="both"/>
            </w:pPr>
            <w:r>
              <w:t>Via O. Flacco</w:t>
            </w:r>
          </w:p>
        </w:tc>
      </w:tr>
    </w:tbl>
    <w:p w:rsidR="00B74536" w:rsidRDefault="00B74536" w:rsidP="00A977A1">
      <w:pPr>
        <w:tabs>
          <w:tab w:val="left" w:pos="7555"/>
        </w:tabs>
      </w:pPr>
    </w:p>
    <w:p w:rsidR="00312CF3" w:rsidRDefault="00312CF3" w:rsidP="00521D7E">
      <w:pPr>
        <w:tabs>
          <w:tab w:val="left" w:pos="7555"/>
        </w:tabs>
        <w:jc w:val="both"/>
      </w:pPr>
      <w:r>
        <w:t>Ai sensi del “Documento Strategico Diffuso del Commercio redatto dall'Unione dei Comuni delle Terre del Mare e del Sole”</w:t>
      </w:r>
      <w:r w:rsidR="00521D7E">
        <w:t xml:space="preserve">, qualora la miglioria sia da effettuare mediante </w:t>
      </w:r>
      <w:r w:rsidR="00521D7E" w:rsidRPr="00B4485D">
        <w:rPr>
          <w:b/>
        </w:rPr>
        <w:t>scambio consensuale di posteggio nell’ambito del medesimo settore merceologico</w:t>
      </w:r>
      <w:r w:rsidR="00521D7E">
        <w:t xml:space="preserve"> del mercato, gli operatori devono presentar</w:t>
      </w:r>
      <w:r w:rsidR="004D77F7">
        <w:t xml:space="preserve">e contestualmente le domande corredate da marca da bollo da 16,00€ </w:t>
      </w:r>
      <w:r w:rsidR="00521D7E">
        <w:t>con l’indicazione dei numeri di posteggio oggetto di scambio.</w:t>
      </w:r>
    </w:p>
    <w:p w:rsidR="00521D7E" w:rsidRDefault="00521D7E" w:rsidP="003C40A2">
      <w:pPr>
        <w:rPr>
          <w:b/>
          <w:bCs/>
        </w:rPr>
      </w:pPr>
    </w:p>
    <w:p w:rsidR="003C40A2" w:rsidRPr="005867FF" w:rsidRDefault="003C40A2" w:rsidP="005867FF">
      <w:pPr>
        <w:pStyle w:val="Paragrafoelenco"/>
        <w:numPr>
          <w:ilvl w:val="0"/>
          <w:numId w:val="6"/>
        </w:numPr>
        <w:rPr>
          <w:b/>
          <w:bCs/>
        </w:rPr>
      </w:pPr>
      <w:r w:rsidRPr="005867FF">
        <w:rPr>
          <w:b/>
          <w:bCs/>
        </w:rPr>
        <w:t>Modalità di presentazione della domanda</w:t>
      </w:r>
    </w:p>
    <w:p w:rsidR="00EB60A1" w:rsidRDefault="003C40A2" w:rsidP="004709A3">
      <w:pPr>
        <w:jc w:val="both"/>
      </w:pPr>
      <w:r>
        <w:t xml:space="preserve">I </w:t>
      </w:r>
      <w:r w:rsidR="00CD4C33">
        <w:t xml:space="preserve"> concessiona</w:t>
      </w:r>
      <w:r>
        <w:t xml:space="preserve">ri già titolari di un posteggio dovranno inviare la domanda secondo lo schema riportato nell’allegato A, con una marca da bollo da € 16,00 (applicata alla domanda, scansionata ed inviata assieme ad essa). La domanda dovrà essere inviata </w:t>
      </w:r>
      <w:r w:rsidRPr="003C40A2">
        <w:rPr>
          <w:b/>
        </w:rPr>
        <w:t>esclusivamente</w:t>
      </w:r>
      <w:r>
        <w:t xml:space="preserve"> alla pec: </w:t>
      </w:r>
      <w:hyperlink r:id="rId7" w:history="1">
        <w:r w:rsidRPr="002E0C5A">
          <w:rPr>
            <w:rStyle w:val="Collegamentoipertestuale"/>
          </w:rPr>
          <w:t>protocollo.comune.fragagnano.ta@pec.it</w:t>
        </w:r>
      </w:hyperlink>
      <w:r>
        <w:t xml:space="preserve"> </w:t>
      </w:r>
    </w:p>
    <w:p w:rsidR="005867FF" w:rsidRPr="005867FF" w:rsidRDefault="005867FF" w:rsidP="005867FF">
      <w:pPr>
        <w:pStyle w:val="Paragrafoelenco"/>
        <w:numPr>
          <w:ilvl w:val="0"/>
          <w:numId w:val="6"/>
        </w:numPr>
        <w:rPr>
          <w:b/>
          <w:bCs/>
        </w:rPr>
      </w:pPr>
      <w:r w:rsidRPr="005867FF">
        <w:rPr>
          <w:b/>
          <w:bCs/>
        </w:rPr>
        <w:t>Termini di presentazione delle domande</w:t>
      </w:r>
    </w:p>
    <w:p w:rsidR="005867FF" w:rsidRDefault="005867FF" w:rsidP="004709A3">
      <w:pPr>
        <w:jc w:val="both"/>
      </w:pPr>
      <w:r>
        <w:t xml:space="preserve"> La domanda di partecipazione alla procedura di miglioria di cui al presente procedimento d</w:t>
      </w:r>
      <w:r w:rsidR="00D50E20">
        <w:t xml:space="preserve">ovrà essere presentata entro il </w:t>
      </w:r>
      <w:r w:rsidR="0084232A">
        <w:t>23</w:t>
      </w:r>
      <w:r w:rsidR="00D50E20">
        <w:t>.11.2022</w:t>
      </w:r>
    </w:p>
    <w:p w:rsidR="005867FF" w:rsidRDefault="005867FF" w:rsidP="005867FF">
      <w:pPr>
        <w:pStyle w:val="Paragrafoelenco"/>
        <w:numPr>
          <w:ilvl w:val="0"/>
          <w:numId w:val="6"/>
        </w:numPr>
        <w:rPr>
          <w:b/>
          <w:bCs/>
        </w:rPr>
      </w:pPr>
      <w:r w:rsidRPr="005867FF">
        <w:rPr>
          <w:b/>
          <w:bCs/>
        </w:rPr>
        <w:t>Soggetti ammessi alla presentazione delle domande</w:t>
      </w:r>
    </w:p>
    <w:p w:rsidR="00CD63FC" w:rsidRPr="005867FF" w:rsidRDefault="00CD63FC" w:rsidP="00CD63FC">
      <w:pPr>
        <w:pStyle w:val="Paragrafoelenco"/>
        <w:rPr>
          <w:b/>
          <w:bCs/>
        </w:rPr>
      </w:pPr>
    </w:p>
    <w:p w:rsidR="005867FF" w:rsidRDefault="005867FF" w:rsidP="004709A3">
      <w:pPr>
        <w:pStyle w:val="Paragrafoelenco"/>
        <w:ind w:left="0"/>
        <w:jc w:val="both"/>
      </w:pPr>
      <w:r>
        <w:t xml:space="preserve"> Sono ammessi a presentare domanda gli operatori titolari di concessione di posteggio nel Mercato settimanale del Comune di Fragagnano (TA), interessati a migliorare la propria collocazione all’interno del mercato, nelle rispetto dei vincoli di destinazione merceologica.</w:t>
      </w:r>
    </w:p>
    <w:p w:rsidR="008158CA" w:rsidRDefault="008158CA" w:rsidP="004709A3">
      <w:pPr>
        <w:pStyle w:val="Paragrafoelenco"/>
        <w:ind w:left="0"/>
        <w:jc w:val="both"/>
      </w:pPr>
    </w:p>
    <w:p w:rsidR="008A23E6" w:rsidRPr="00CD63FC" w:rsidRDefault="008A23E6" w:rsidP="00CD63FC">
      <w:pPr>
        <w:pStyle w:val="Paragrafoelenco"/>
        <w:numPr>
          <w:ilvl w:val="0"/>
          <w:numId w:val="6"/>
        </w:numPr>
        <w:rPr>
          <w:b/>
        </w:rPr>
      </w:pPr>
      <w:r w:rsidRPr="00CD63FC">
        <w:rPr>
          <w:b/>
        </w:rPr>
        <w:t>Documenti da allegare alla domanda</w:t>
      </w:r>
    </w:p>
    <w:p w:rsidR="008A23E6" w:rsidRDefault="008A23E6" w:rsidP="003C40A2">
      <w:r>
        <w:t>-marca da bollo da 16 euro</w:t>
      </w:r>
    </w:p>
    <w:p w:rsidR="008A23E6" w:rsidRDefault="008A23E6" w:rsidP="008A23E6">
      <w:pPr>
        <w:tabs>
          <w:tab w:val="left" w:pos="7555"/>
        </w:tabs>
      </w:pPr>
      <w:r>
        <w:t>-documento di identità</w:t>
      </w:r>
    </w:p>
    <w:p w:rsidR="008158CA" w:rsidRDefault="008A23E6" w:rsidP="008158CA">
      <w:pPr>
        <w:tabs>
          <w:tab w:val="left" w:pos="7555"/>
        </w:tabs>
      </w:pPr>
      <w:r w:rsidRPr="008158CA">
        <w:t>-</w:t>
      </w:r>
      <w:r w:rsidR="008158CA" w:rsidRPr="008158CA">
        <w:t>visura camerale storica</w:t>
      </w:r>
    </w:p>
    <w:p w:rsidR="003C40A2" w:rsidRPr="002D64AA" w:rsidRDefault="003C40A2" w:rsidP="002D64AA">
      <w:pPr>
        <w:pStyle w:val="Paragrafoelenco"/>
        <w:numPr>
          <w:ilvl w:val="0"/>
          <w:numId w:val="6"/>
        </w:numPr>
        <w:tabs>
          <w:tab w:val="left" w:pos="7555"/>
        </w:tabs>
        <w:rPr>
          <w:b/>
        </w:rPr>
      </w:pPr>
      <w:r w:rsidRPr="002D64AA">
        <w:rPr>
          <w:b/>
        </w:rPr>
        <w:t>Cause di esclusione delle domande</w:t>
      </w:r>
    </w:p>
    <w:p w:rsidR="003C40A2" w:rsidRDefault="003C40A2" w:rsidP="003C40A2">
      <w:r>
        <w:t xml:space="preserve">Non saranno ammesse e valutate le domande </w:t>
      </w:r>
    </w:p>
    <w:p w:rsidR="003C40A2" w:rsidRDefault="003C40A2" w:rsidP="003C40A2">
      <w:r>
        <w:t>-presentate oltre i termini temporali previsti dal bando;</w:t>
      </w:r>
    </w:p>
    <w:p w:rsidR="003C40A2" w:rsidRDefault="003C40A2" w:rsidP="003C40A2">
      <w:r>
        <w:t>-prive di marca da bollo;</w:t>
      </w:r>
    </w:p>
    <w:p w:rsidR="003C40A2" w:rsidRDefault="003C40A2" w:rsidP="003C40A2">
      <w:r>
        <w:t>-presentate in modalità diverse da quella indicata nel bando;</w:t>
      </w:r>
    </w:p>
    <w:p w:rsidR="003C40A2" w:rsidRDefault="003C40A2" w:rsidP="003C40A2">
      <w:r>
        <w:lastRenderedPageBreak/>
        <w:t>-non sottoscritta;</w:t>
      </w:r>
    </w:p>
    <w:p w:rsidR="00A977A1" w:rsidRDefault="00B74536" w:rsidP="00A977A1">
      <w:pPr>
        <w:tabs>
          <w:tab w:val="left" w:pos="7555"/>
        </w:tabs>
      </w:pPr>
      <w:r>
        <w:t xml:space="preserve">         </w:t>
      </w:r>
      <w:r w:rsidR="00A977A1">
        <w:tab/>
      </w:r>
    </w:p>
    <w:p w:rsidR="008A23E6" w:rsidRDefault="008A23E6" w:rsidP="00F43F2E">
      <w:pPr>
        <w:spacing w:line="240" w:lineRule="auto"/>
        <w:rPr>
          <w:rFonts w:ascii="Times New Roman" w:hAnsi="Times New Roman"/>
          <w:color w:val="000000"/>
        </w:rPr>
      </w:pPr>
    </w:p>
    <w:p w:rsidR="00A1129F" w:rsidRDefault="008A23E6" w:rsidP="00CD63FC">
      <w:pPr>
        <w:pStyle w:val="Paragrafoelenco"/>
        <w:numPr>
          <w:ilvl w:val="0"/>
          <w:numId w:val="6"/>
        </w:numPr>
      </w:pPr>
      <w:r w:rsidRPr="00CD63FC">
        <w:rPr>
          <w:b/>
          <w:u w:val="single"/>
        </w:rPr>
        <w:t>Criteri</w:t>
      </w:r>
      <w:r w:rsidRPr="008A23E6">
        <w:t xml:space="preserve"> </w:t>
      </w:r>
    </w:p>
    <w:p w:rsidR="00134918" w:rsidRDefault="00134918" w:rsidP="00134918">
      <w:r>
        <w:t>1. Anzianità dell’esercizio dell’impresa, comprovata dalla durata dell’iscrizione, quale impresa attiva nel commercio su aree pubbliche nel Registro delle Imprese, riferita al soggetto titolare al momento della partecipazione al bando cumulata a quella dell’eventuale ultimo dante causa, con la seguente ripartizione di punteggi:</w:t>
      </w:r>
    </w:p>
    <w:p w:rsidR="00134918" w:rsidRDefault="00134918" w:rsidP="00134918">
      <w:r>
        <w:t xml:space="preserve"> - anzianità d’iscrizione sino a 5 anni: 40 punti</w:t>
      </w:r>
    </w:p>
    <w:p w:rsidR="00134918" w:rsidRDefault="00134918" w:rsidP="00134918">
      <w:r>
        <w:t xml:space="preserve"> - anzianità d’iscrizione compresa tra 5 e 10 anni: 50 punti</w:t>
      </w:r>
    </w:p>
    <w:p w:rsidR="00134918" w:rsidRDefault="00134918" w:rsidP="00134918">
      <w:r>
        <w:t xml:space="preserve"> - anzianità d’iscrizione superiore a 10 anni: 60 punti;</w:t>
      </w:r>
    </w:p>
    <w:p w:rsidR="00134918" w:rsidRDefault="00134918" w:rsidP="00134918">
      <w:r>
        <w:t xml:space="preserve"> (in caso di uguale anzianità dell’esercizio dell’impresa verrà data priorità alla data di iscrizione al registro imprese per l’esercizio dell’attività di commercio su aree pubbliche dell’impresa richiedente la miglioria o a quella dell’eventuale ultimo dante causa). </w:t>
      </w:r>
    </w:p>
    <w:p w:rsidR="002D64AA" w:rsidRDefault="00134918" w:rsidP="00134918">
      <w:r>
        <w:t>2. Anzianità storica di frequenza nel mercato a cui si riferisce la selezione</w:t>
      </w:r>
      <w:r w:rsidR="00326E12">
        <w:t xml:space="preserve"> </w:t>
      </w:r>
      <w:r>
        <w:t>:</w:t>
      </w:r>
    </w:p>
    <w:p w:rsidR="00134918" w:rsidRDefault="002D64AA" w:rsidP="00134918">
      <w:r>
        <w:t>a)</w:t>
      </w:r>
      <w:r w:rsidR="00134918">
        <w:t xml:space="preserve"> si attribuisce un punteggio pari a 1 punti per ogni anno di anzianità oppure punti 0,5 per ogni mese di anzianità o frazione maggiore di 15 giorni, riferita al soggetto titolare al momento della partecipazione cumulata a quella dell’eventuale ultimo dante causa.</w:t>
      </w:r>
    </w:p>
    <w:p w:rsidR="00134918" w:rsidRDefault="002C66C5" w:rsidP="00134918">
      <w:r>
        <w:t>b) maggiore anzianità di presenza maturata dal soggetto richiedente nell’ambito del mercato</w:t>
      </w:r>
      <w:r w:rsidR="00326E12">
        <w:t xml:space="preserve"> </w:t>
      </w:r>
      <w:r w:rsidR="00326E12" w:rsidRPr="00326E12">
        <w:rPr>
          <w:b/>
          <w:color w:val="221E1F"/>
          <w:sz w:val="23"/>
          <w:szCs w:val="23"/>
        </w:rPr>
        <w:t>documentata dalla ricevuta del pagamento della tassa di occupazione del suolo pubblico</w:t>
      </w:r>
      <w:r>
        <w:t xml:space="preserve">; </w:t>
      </w:r>
    </w:p>
    <w:p w:rsidR="00134918" w:rsidRPr="002D64AA" w:rsidRDefault="00134918" w:rsidP="00134918">
      <w:r>
        <w:t>3. E</w:t>
      </w:r>
      <w:r w:rsidRPr="002D64AA">
        <w:t xml:space="preserve">sclusivamente in caso di parità di punteggio fra gli operatori, gli ulteriori criteri di cui all’art.30, comma 4 lettera c) della Legge Regionale assegnano punteggi non cumulabili tenendo conto, in ordine di priorità dei seguenti parametri: </w:t>
      </w:r>
    </w:p>
    <w:p w:rsidR="00134918" w:rsidRPr="002D64AA" w:rsidRDefault="00134918" w:rsidP="00134918">
      <w:r w:rsidRPr="002D64AA">
        <w:t>· anzianità di partecipazione nella fiera o mercato: numero complessivo di presenze nella fiera o mercato;</w:t>
      </w:r>
    </w:p>
    <w:p w:rsidR="00134918" w:rsidRPr="002D64AA" w:rsidRDefault="00134918" w:rsidP="00134918">
      <w:r w:rsidRPr="002D64AA">
        <w:t xml:space="preserve"> · data di iscrizione al registro imprese per l’esercizio dell’attività di commercio su aree pubbliche;</w:t>
      </w:r>
    </w:p>
    <w:p w:rsidR="00134918" w:rsidRPr="002D64AA" w:rsidRDefault="00134918" w:rsidP="00134918">
      <w:r w:rsidRPr="002D64AA">
        <w:t xml:space="preserve"> · presentazione di apposita documentazione attestante la regolarità della posizione dell’impresa, sia individuale che societaria, ai fini previdenziali, contributivi e fiscali · assunzione dell’impegno da parte del soggetto candidato a rendere compatibile il servizio commerciale con la funzione e la tutela territoriale;</w:t>
      </w:r>
    </w:p>
    <w:p w:rsidR="00134918" w:rsidRPr="002D64AA" w:rsidRDefault="00134918" w:rsidP="00134918">
      <w:r w:rsidRPr="002D64AA">
        <w:t xml:space="preserve"> · partecipazione a corsi di formazione professionale del candidato e/o dei dipendenti;</w:t>
      </w:r>
    </w:p>
    <w:p w:rsidR="00134918" w:rsidRPr="002D64AA" w:rsidRDefault="00134918" w:rsidP="00134918">
      <w:r w:rsidRPr="002D64AA">
        <w:t xml:space="preserve"> · stato di disoccupazione; </w:t>
      </w:r>
    </w:p>
    <w:p w:rsidR="00134918" w:rsidRPr="002D64AA" w:rsidRDefault="00134918" w:rsidP="00134918">
      <w:r w:rsidRPr="002D64AA">
        <w:t>· invalidità;</w:t>
      </w:r>
    </w:p>
    <w:p w:rsidR="002D64AA" w:rsidRDefault="002D64AA" w:rsidP="00134918">
      <w:r>
        <w:t>· carico familiare;</w:t>
      </w:r>
    </w:p>
    <w:p w:rsidR="004561E2" w:rsidRPr="002D64AA" w:rsidRDefault="00134918" w:rsidP="00134918">
      <w:r w:rsidRPr="002D64AA">
        <w:t xml:space="preserve"> d) con l’emanazione del bando verranno indicati i punteggi da attribuire nei punti a) e b) e c) del presente articolo.</w:t>
      </w:r>
    </w:p>
    <w:p w:rsidR="00134918" w:rsidRDefault="00134918" w:rsidP="00134918">
      <w:pPr>
        <w:rPr>
          <w:color w:val="221E1F"/>
          <w:sz w:val="23"/>
          <w:szCs w:val="23"/>
        </w:rPr>
      </w:pPr>
    </w:p>
    <w:p w:rsidR="00134918" w:rsidRPr="002D64AA" w:rsidRDefault="00134918" w:rsidP="00134918">
      <w:r w:rsidRPr="002D64AA">
        <w:lastRenderedPageBreak/>
        <w:t>A tal fine l’Ufficio si riserva di richiedere documentazione integrativa agli operatori.</w:t>
      </w:r>
    </w:p>
    <w:p w:rsidR="004561E2" w:rsidRDefault="004561E2" w:rsidP="008A23E6"/>
    <w:p w:rsidR="008A23E6" w:rsidRPr="00CD63FC" w:rsidRDefault="008A23E6" w:rsidP="00CD63FC">
      <w:pPr>
        <w:pStyle w:val="Paragrafoelenco"/>
        <w:numPr>
          <w:ilvl w:val="0"/>
          <w:numId w:val="6"/>
        </w:numPr>
        <w:rPr>
          <w:b/>
          <w:u w:val="single"/>
        </w:rPr>
      </w:pPr>
      <w:r w:rsidRPr="00CD63FC">
        <w:rPr>
          <w:b/>
          <w:u w:val="single"/>
        </w:rPr>
        <w:t>Formazione della graduatoria</w:t>
      </w:r>
    </w:p>
    <w:p w:rsidR="008A23E6" w:rsidRDefault="008A23E6" w:rsidP="004709A3">
      <w:pPr>
        <w:jc w:val="both"/>
      </w:pPr>
      <w:r w:rsidRPr="008A23E6">
        <w:t>L’ufficio Attività produttive provvederà</w:t>
      </w:r>
      <w:r>
        <w:t xml:space="preserve"> alla formazione della graduatoria </w:t>
      </w:r>
      <w:r w:rsidR="0091358C">
        <w:t>solo in</w:t>
      </w:r>
      <w:r w:rsidR="0091358C" w:rsidRPr="0091358C">
        <w:t xml:space="preserve"> caso di richieste concorrenti sul medesimo posteggio </w:t>
      </w:r>
      <w:r>
        <w:t xml:space="preserve">utilizzando </w:t>
      </w:r>
      <w:r w:rsidR="00EB60A1">
        <w:t xml:space="preserve">i criteri stabiliti dal presente bando entro 30 gg dal termine ultimo di ricezione delle domande. La graduatoria sarà approvata con Determina del Responsabile del Settore e pubblicata all’Albo pretorio </w:t>
      </w:r>
      <w:r w:rsidR="0050648A">
        <w:t>per i successivi 15 giorni durante i quali gli interessati potranno presentare eventuali opposizioni;</w:t>
      </w:r>
    </w:p>
    <w:p w:rsidR="0091358C" w:rsidRPr="00CD63FC" w:rsidRDefault="0091358C" w:rsidP="00CD63FC">
      <w:pPr>
        <w:pStyle w:val="Paragrafoelenco"/>
        <w:numPr>
          <w:ilvl w:val="0"/>
          <w:numId w:val="6"/>
        </w:numPr>
        <w:jc w:val="both"/>
        <w:rPr>
          <w:b/>
          <w:u w:val="single"/>
        </w:rPr>
      </w:pPr>
      <w:r w:rsidRPr="00CD63FC">
        <w:rPr>
          <w:b/>
          <w:u w:val="single"/>
        </w:rPr>
        <w:t>Rilascio delle Autorizzazioni</w:t>
      </w:r>
    </w:p>
    <w:p w:rsidR="0091358C" w:rsidRPr="0091358C" w:rsidRDefault="0091358C" w:rsidP="004709A3">
      <w:pPr>
        <w:jc w:val="both"/>
      </w:pPr>
      <w:r>
        <w:t>Al termine del procedimento di miglioria si provvederà al rilascio delle Autorizzazioni per la nuova collocazione dei posteggi. Si precisa che l’assegnazione del nuovo posteggio non estingue le posizioni debitorie pendenti in capo al titolare del posteggio che richiede la miglioria.</w:t>
      </w:r>
    </w:p>
    <w:p w:rsidR="0091358C" w:rsidRDefault="0091358C" w:rsidP="004709A3">
      <w:pPr>
        <w:jc w:val="both"/>
      </w:pPr>
    </w:p>
    <w:p w:rsidR="004709A3" w:rsidRPr="00CD63FC" w:rsidRDefault="00312CF3" w:rsidP="00CD63FC">
      <w:pPr>
        <w:pStyle w:val="Paragrafoelenco"/>
        <w:numPr>
          <w:ilvl w:val="0"/>
          <w:numId w:val="6"/>
        </w:numPr>
        <w:rPr>
          <w:b/>
          <w:u w:val="single"/>
        </w:rPr>
      </w:pPr>
      <w:r w:rsidRPr="00D50E20">
        <w:rPr>
          <w:b/>
          <w:u w:val="single"/>
        </w:rPr>
        <w:t>Informativa ai sensi dell’art</w:t>
      </w:r>
      <w:r w:rsidRPr="00CD63FC">
        <w:rPr>
          <w:b/>
          <w:u w:val="single"/>
        </w:rPr>
        <w:t>. 13 del d.lgs 196/2003</w:t>
      </w:r>
    </w:p>
    <w:p w:rsidR="00312CF3" w:rsidRDefault="00312CF3" w:rsidP="004709A3">
      <w:pPr>
        <w:jc w:val="both"/>
      </w:pPr>
      <w:r w:rsidRPr="00312CF3">
        <w:br/>
        <w:t>I dati personali raccolti saranno trattati e diffusi nell’ambito del procedimento per il quali gli stessi sono stati raccolti</w:t>
      </w:r>
      <w:r>
        <w:t>.</w:t>
      </w:r>
      <w:r w:rsidRPr="00312CF3">
        <w:t xml:space="preserve"> I dati potranno essere inoltre comunicati, su richiesta, nell’ambito del diritto di informazione e accesso agli atti e nel rispetto delle disposizioni di legge </w:t>
      </w:r>
      <w:r>
        <w:t>in materia</w:t>
      </w:r>
      <w:r w:rsidRPr="00312CF3">
        <w:t>. Per tutto quanto non previsto dal presente “Avviso” si rinvia alla normativa statale e regionale vigente, nonché “</w:t>
      </w:r>
      <w:r>
        <w:t>Documento Strategico Diffuso del Commercio redatto dall'Unione dei Comuni delle Terre del Mare e del Sole</w:t>
      </w:r>
      <w:r w:rsidRPr="00312CF3">
        <w:t xml:space="preserve">”. Il presente bando è pubblicato all'Albo Pretorio del Comune sul sito internet </w:t>
      </w:r>
      <w:hyperlink r:id="rId8" w:history="1">
        <w:r w:rsidRPr="00393472">
          <w:rPr>
            <w:rStyle w:val="Collegamentoipertestuale"/>
          </w:rPr>
          <w:t>www.comune.fragangano.ta.it</w:t>
        </w:r>
      </w:hyperlink>
      <w:r>
        <w:t xml:space="preserve"> </w:t>
      </w:r>
      <w:r w:rsidRPr="00312CF3">
        <w:t>.</w:t>
      </w:r>
    </w:p>
    <w:p w:rsidR="00EB60A1" w:rsidRPr="008A23E6" w:rsidRDefault="00EB60A1" w:rsidP="004709A3">
      <w:pPr>
        <w:jc w:val="both"/>
      </w:pPr>
    </w:p>
    <w:p w:rsidR="008A23E6" w:rsidRPr="008A23E6" w:rsidRDefault="008A23E6" w:rsidP="008A23E6"/>
    <w:p w:rsidR="008A23E6" w:rsidRDefault="008A23E6" w:rsidP="008A23E6">
      <w:pPr>
        <w:rPr>
          <w:rFonts w:ascii="Times New Roman" w:hAnsi="Times New Roman"/>
        </w:rPr>
      </w:pPr>
    </w:p>
    <w:p w:rsidR="008A23E6" w:rsidRPr="008A23E6" w:rsidRDefault="008A23E6" w:rsidP="008A23E6">
      <w:pPr>
        <w:rPr>
          <w:rFonts w:ascii="Times New Roman" w:hAnsi="Times New Roman"/>
        </w:rPr>
      </w:pPr>
    </w:p>
    <w:sectPr w:rsidR="008A23E6" w:rsidRPr="008A23E6" w:rsidSect="008A23E6">
      <w:headerReference w:type="default" r:id="rId9"/>
      <w:pgSz w:w="11906" w:h="16838"/>
      <w:pgMar w:top="0"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5C" w:rsidRDefault="00761C5C" w:rsidP="00AC71CB">
      <w:pPr>
        <w:spacing w:after="0" w:line="240" w:lineRule="auto"/>
      </w:pPr>
      <w:r>
        <w:separator/>
      </w:r>
    </w:p>
  </w:endnote>
  <w:endnote w:type="continuationSeparator" w:id="1">
    <w:p w:rsidR="00761C5C" w:rsidRDefault="00761C5C" w:rsidP="00AC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5C" w:rsidRDefault="00761C5C" w:rsidP="00AC71CB">
      <w:pPr>
        <w:spacing w:after="0" w:line="240" w:lineRule="auto"/>
      </w:pPr>
      <w:r>
        <w:separator/>
      </w:r>
    </w:p>
  </w:footnote>
  <w:footnote w:type="continuationSeparator" w:id="1">
    <w:p w:rsidR="00761C5C" w:rsidRDefault="00761C5C" w:rsidP="00AC7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CB" w:rsidRDefault="00AC71CB" w:rsidP="00AC71CB">
    <w:pPr>
      <w:pStyle w:val="Intestazione"/>
      <w:tabs>
        <w:tab w:val="clear" w:pos="4819"/>
        <w:tab w:val="clear" w:pos="9638"/>
        <w:tab w:val="left" w:pos="602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BC5"/>
    <w:multiLevelType w:val="hybridMultilevel"/>
    <w:tmpl w:val="CD188E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12E874D1"/>
    <w:multiLevelType w:val="hybridMultilevel"/>
    <w:tmpl w:val="A4A86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476255"/>
    <w:multiLevelType w:val="hybridMultilevel"/>
    <w:tmpl w:val="67B609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712C00"/>
    <w:multiLevelType w:val="hybridMultilevel"/>
    <w:tmpl w:val="7D7A4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341443"/>
    <w:multiLevelType w:val="hybridMultilevel"/>
    <w:tmpl w:val="F29C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06485D"/>
    <w:multiLevelType w:val="hybridMultilevel"/>
    <w:tmpl w:val="97308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1CB"/>
    <w:rsid w:val="00012C7B"/>
    <w:rsid w:val="000F1278"/>
    <w:rsid w:val="0011131C"/>
    <w:rsid w:val="00134918"/>
    <w:rsid w:val="00155F88"/>
    <w:rsid w:val="001C7960"/>
    <w:rsid w:val="001F6400"/>
    <w:rsid w:val="00215F2E"/>
    <w:rsid w:val="002320E2"/>
    <w:rsid w:val="0027550F"/>
    <w:rsid w:val="002B29F0"/>
    <w:rsid w:val="002C66C5"/>
    <w:rsid w:val="002D0E6F"/>
    <w:rsid w:val="002D64AA"/>
    <w:rsid w:val="002F31A2"/>
    <w:rsid w:val="00301866"/>
    <w:rsid w:val="00312CF3"/>
    <w:rsid w:val="00326E12"/>
    <w:rsid w:val="003748FD"/>
    <w:rsid w:val="003C40A2"/>
    <w:rsid w:val="00405604"/>
    <w:rsid w:val="00416C63"/>
    <w:rsid w:val="004506AB"/>
    <w:rsid w:val="004561E2"/>
    <w:rsid w:val="00460D48"/>
    <w:rsid w:val="004709A3"/>
    <w:rsid w:val="004D77F7"/>
    <w:rsid w:val="0050648A"/>
    <w:rsid w:val="00521D7E"/>
    <w:rsid w:val="005867FF"/>
    <w:rsid w:val="005A78D0"/>
    <w:rsid w:val="006126E8"/>
    <w:rsid w:val="0065640B"/>
    <w:rsid w:val="006A20B0"/>
    <w:rsid w:val="00761C5C"/>
    <w:rsid w:val="00771147"/>
    <w:rsid w:val="00787529"/>
    <w:rsid w:val="007A24A8"/>
    <w:rsid w:val="007B0759"/>
    <w:rsid w:val="008158CA"/>
    <w:rsid w:val="008168DD"/>
    <w:rsid w:val="0084232A"/>
    <w:rsid w:val="00846F5C"/>
    <w:rsid w:val="008A23E6"/>
    <w:rsid w:val="008F7119"/>
    <w:rsid w:val="0091358C"/>
    <w:rsid w:val="009276C8"/>
    <w:rsid w:val="009403D2"/>
    <w:rsid w:val="00943CED"/>
    <w:rsid w:val="009728C4"/>
    <w:rsid w:val="009966BC"/>
    <w:rsid w:val="009B1505"/>
    <w:rsid w:val="00A1129F"/>
    <w:rsid w:val="00A30548"/>
    <w:rsid w:val="00A42CBE"/>
    <w:rsid w:val="00A81501"/>
    <w:rsid w:val="00A977A1"/>
    <w:rsid w:val="00AB6F32"/>
    <w:rsid w:val="00AC71CB"/>
    <w:rsid w:val="00AE6DF0"/>
    <w:rsid w:val="00B01E5D"/>
    <w:rsid w:val="00B047A3"/>
    <w:rsid w:val="00B4485D"/>
    <w:rsid w:val="00B542A0"/>
    <w:rsid w:val="00B74536"/>
    <w:rsid w:val="00C1667B"/>
    <w:rsid w:val="00C20CE3"/>
    <w:rsid w:val="00C30617"/>
    <w:rsid w:val="00C35794"/>
    <w:rsid w:val="00C46853"/>
    <w:rsid w:val="00CD4C33"/>
    <w:rsid w:val="00CD63FC"/>
    <w:rsid w:val="00CE55D8"/>
    <w:rsid w:val="00CF5A7A"/>
    <w:rsid w:val="00D50E20"/>
    <w:rsid w:val="00DC0702"/>
    <w:rsid w:val="00EA74CA"/>
    <w:rsid w:val="00EB60A1"/>
    <w:rsid w:val="00F43F2E"/>
    <w:rsid w:val="00F47FA4"/>
    <w:rsid w:val="00F641AA"/>
    <w:rsid w:val="00F96B7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70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1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1CB"/>
  </w:style>
  <w:style w:type="paragraph" w:styleId="Pidipagina">
    <w:name w:val="footer"/>
    <w:basedOn w:val="Normale"/>
    <w:link w:val="PidipaginaCarattere"/>
    <w:uiPriority w:val="99"/>
    <w:semiHidden/>
    <w:unhideWhenUsed/>
    <w:rsid w:val="00AC71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C71CB"/>
  </w:style>
  <w:style w:type="paragraph" w:styleId="Paragrafoelenco">
    <w:name w:val="List Paragraph"/>
    <w:basedOn w:val="Normale"/>
    <w:uiPriority w:val="34"/>
    <w:qFormat/>
    <w:rsid w:val="00CF5A7A"/>
    <w:pPr>
      <w:ind w:left="720"/>
      <w:contextualSpacing/>
    </w:pPr>
  </w:style>
  <w:style w:type="paragraph" w:customStyle="1" w:styleId="Default">
    <w:name w:val="Default"/>
    <w:rsid w:val="00CD4C33"/>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CD4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3C40A2"/>
    <w:rPr>
      <w:color w:val="0000FF"/>
      <w:u w:val="single"/>
    </w:rPr>
  </w:style>
  <w:style w:type="character" w:styleId="Enfasicorsivo">
    <w:name w:val="Emphasis"/>
    <w:uiPriority w:val="20"/>
    <w:qFormat/>
    <w:rsid w:val="00A30548"/>
    <w:rPr>
      <w:i/>
      <w:iCs/>
    </w:rPr>
  </w:style>
</w:styles>
</file>

<file path=word/webSettings.xml><?xml version="1.0" encoding="utf-8"?>
<w:webSettings xmlns:r="http://schemas.openxmlformats.org/officeDocument/2006/relationships" xmlns:w="http://schemas.openxmlformats.org/wordprocessingml/2006/main">
  <w:divs>
    <w:div w:id="1661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mune.fragangano.ta.it" TargetMode="External"/><Relationship Id="rId3" Type="http://schemas.openxmlformats.org/officeDocument/2006/relationships/settings" Target="settings.xml"/><Relationship Id="rId7" Type="http://schemas.openxmlformats.org/officeDocument/2006/relationships/hyperlink" Target="mailto:protocollo.comune.fragagnano.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8030</CharactersWithSpaces>
  <SharedDoc>false</SharedDoc>
  <HLinks>
    <vt:vector size="12" baseType="variant">
      <vt:variant>
        <vt:i4>4063334</vt:i4>
      </vt:variant>
      <vt:variant>
        <vt:i4>3</vt:i4>
      </vt:variant>
      <vt:variant>
        <vt:i4>0</vt:i4>
      </vt:variant>
      <vt:variant>
        <vt:i4>5</vt:i4>
      </vt:variant>
      <vt:variant>
        <vt:lpwstr>http://www.comune.fragangano.ta.it/</vt:lpwstr>
      </vt:variant>
      <vt:variant>
        <vt:lpwstr/>
      </vt:variant>
      <vt:variant>
        <vt:i4>1245281</vt:i4>
      </vt:variant>
      <vt:variant>
        <vt:i4>0</vt:i4>
      </vt:variant>
      <vt:variant>
        <vt:i4>0</vt:i4>
      </vt:variant>
      <vt:variant>
        <vt:i4>5</vt:i4>
      </vt:variant>
      <vt:variant>
        <vt:lpwstr>mailto:protocollo.comune.fragagnano.ta@pec.it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Labrini</dc:creator>
  <cp:lastModifiedBy>annapaola</cp:lastModifiedBy>
  <cp:revision>2</cp:revision>
  <cp:lastPrinted>2022-06-17T08:12:00Z</cp:lastPrinted>
  <dcterms:created xsi:type="dcterms:W3CDTF">2022-10-25T08:55:00Z</dcterms:created>
  <dcterms:modified xsi:type="dcterms:W3CDTF">2022-10-25T08:55:00Z</dcterms:modified>
</cp:coreProperties>
</file>