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2C" w:rsidRPr="00E75F5F" w:rsidRDefault="00E75F5F" w:rsidP="00E75F5F">
      <w:pPr>
        <w:autoSpaceDE w:val="0"/>
        <w:autoSpaceDN w:val="0"/>
        <w:adjustRightInd w:val="0"/>
        <w:spacing w:after="0"/>
        <w:ind w:left="0"/>
        <w:rPr>
          <w:rFonts w:ascii="Times New Roman" w:hAnsi="Times New Roman"/>
          <w:b/>
          <w:bCs/>
          <w:color w:val="000000"/>
        </w:rPr>
      </w:pPr>
      <w:r w:rsidRPr="00E75F5F">
        <w:rPr>
          <w:b/>
          <w:bCs/>
        </w:rPr>
        <w:t>IL RESPONSABILE DEL PROCEDIMENTO</w:t>
      </w:r>
    </w:p>
    <w:p w:rsidR="00642393" w:rsidRPr="00B1412E" w:rsidRDefault="00642393" w:rsidP="00642393">
      <w:pPr>
        <w:tabs>
          <w:tab w:val="left" w:pos="142"/>
        </w:tabs>
        <w:spacing w:before="100" w:beforeAutospacing="1" w:after="0"/>
        <w:ind w:left="0"/>
        <w:jc w:val="left"/>
        <w:rPr>
          <w:rFonts w:cs="Calibri"/>
          <w:b/>
          <w:bCs/>
        </w:rPr>
      </w:pPr>
      <w:r w:rsidRPr="00B1412E">
        <w:rPr>
          <w:rFonts w:cs="Calibri"/>
          <w:b/>
        </w:rPr>
        <w:t xml:space="preserve">DATO ATTO </w:t>
      </w:r>
      <w:r w:rsidRPr="00B1412E">
        <w:rPr>
          <w:rFonts w:cs="Calibri"/>
          <w:b/>
          <w:bCs/>
        </w:rPr>
        <w:t>CHE:</w:t>
      </w:r>
    </w:p>
    <w:p w:rsidR="00642393" w:rsidRPr="00B1412E" w:rsidRDefault="00642393" w:rsidP="00642393">
      <w:pPr>
        <w:numPr>
          <w:ilvl w:val="0"/>
          <w:numId w:val="10"/>
        </w:numPr>
        <w:tabs>
          <w:tab w:val="left" w:pos="142"/>
        </w:tabs>
        <w:spacing w:after="100" w:afterAutospacing="1"/>
        <w:ind w:left="0" w:firstLine="0"/>
        <w:jc w:val="both"/>
        <w:rPr>
          <w:rFonts w:cs="Calibri"/>
        </w:rPr>
      </w:pPr>
      <w:r w:rsidRPr="00B1412E">
        <w:rPr>
          <w:rFonts w:cs="Calibri"/>
          <w:bCs/>
        </w:rPr>
        <w:t xml:space="preserve">con Deliberazione del Consiglio dell’Unione delle “TERRE DEL MARE E DEL SOLE” n. 2 del 16.03.2019 ha approvato il DOCUMENTO STRATEGICO DEL COMMERCIO DEL DISTRETTO DIFFUSO URBANO DEL COMMERCIO DELL’UNIONE DEI COMUNI “Terre del mare e del sole”; </w:t>
      </w:r>
    </w:p>
    <w:p w:rsidR="00642393" w:rsidRPr="00B1412E" w:rsidRDefault="00642393" w:rsidP="00642393">
      <w:pPr>
        <w:numPr>
          <w:ilvl w:val="0"/>
          <w:numId w:val="10"/>
        </w:numPr>
        <w:tabs>
          <w:tab w:val="left" w:pos="142"/>
        </w:tabs>
        <w:spacing w:before="100" w:beforeAutospacing="1" w:after="100" w:afterAutospacing="1"/>
        <w:ind w:left="0" w:firstLine="0"/>
        <w:jc w:val="both"/>
        <w:rPr>
          <w:rFonts w:cs="Calibri"/>
        </w:rPr>
      </w:pPr>
      <w:r w:rsidRPr="00B1412E">
        <w:rPr>
          <w:rFonts w:cs="Calibri"/>
        </w:rPr>
        <w:t xml:space="preserve">con </w:t>
      </w:r>
      <w:r w:rsidRPr="00B1412E">
        <w:rPr>
          <w:rFonts w:cs="Calibri"/>
          <w:bCs/>
        </w:rPr>
        <w:t xml:space="preserve">nota acquisita al protocollo del Civico Ente n. 6226 del 20.06.2019 il vicepresidente dell’Unione dei Comuni “Terre del mare e del sole”, trasmetteva il </w:t>
      </w:r>
      <w:r w:rsidRPr="00B1412E">
        <w:rPr>
          <w:rFonts w:cs="Calibri"/>
          <w:b/>
          <w:bCs/>
          <w:i/>
        </w:rPr>
        <w:t>Documento Strategico</w:t>
      </w:r>
      <w:r w:rsidRPr="00B1412E">
        <w:rPr>
          <w:rFonts w:cs="Calibri"/>
          <w:bCs/>
        </w:rPr>
        <w:t xml:space="preserve"> </w:t>
      </w:r>
      <w:r w:rsidRPr="00B1412E">
        <w:rPr>
          <w:rFonts w:cs="Calibri"/>
          <w:b/>
          <w:bCs/>
          <w:i/>
        </w:rPr>
        <w:t>Diffuso del Commercio,</w:t>
      </w:r>
      <w:r w:rsidRPr="00B1412E">
        <w:rPr>
          <w:rFonts w:cs="Calibri"/>
          <w:bCs/>
        </w:rPr>
        <w:t xml:space="preserve"> approvato con la suddetta deliberazione assembleare n.2 del 16.03.2019;</w:t>
      </w:r>
    </w:p>
    <w:p w:rsidR="00642393" w:rsidRDefault="00642393" w:rsidP="00642393">
      <w:pPr>
        <w:numPr>
          <w:ilvl w:val="0"/>
          <w:numId w:val="10"/>
        </w:numPr>
        <w:tabs>
          <w:tab w:val="left" w:pos="142"/>
        </w:tabs>
        <w:spacing w:before="100" w:beforeAutospacing="1" w:after="100" w:afterAutospacing="1"/>
        <w:ind w:left="0" w:firstLine="0"/>
        <w:jc w:val="both"/>
        <w:rPr>
          <w:rFonts w:cs="Calibri"/>
        </w:rPr>
      </w:pPr>
      <w:r w:rsidRPr="00B1412E">
        <w:rPr>
          <w:rFonts w:cs="Calibri"/>
          <w:bCs/>
        </w:rPr>
        <w:t xml:space="preserve">veniva demandato, ai singoli comuni facenti parte dell’Unione, l’approvazione in Consiglio Comunale </w:t>
      </w:r>
      <w:r w:rsidRPr="00B1412E">
        <w:rPr>
          <w:rFonts w:cs="Calibri"/>
        </w:rPr>
        <w:t>e la successiva trasmissione alla Regione Puglia, ai sensi e per gli effetti dell’art. 12, comma 3, della Legge regionale n. 24 del 2015 c.d. “</w:t>
      </w:r>
      <w:r w:rsidRPr="00B1412E">
        <w:rPr>
          <w:rFonts w:cs="Calibri"/>
          <w:i/>
          <w:iCs/>
        </w:rPr>
        <w:t>Codice del Commercio</w:t>
      </w:r>
      <w:r w:rsidRPr="00B1412E">
        <w:rPr>
          <w:rFonts w:cs="Calibri"/>
        </w:rPr>
        <w:t>”;</w:t>
      </w:r>
    </w:p>
    <w:p w:rsidR="003020FB" w:rsidRPr="002B0DDB" w:rsidRDefault="000B0B31" w:rsidP="002B0DDB">
      <w:pPr>
        <w:numPr>
          <w:ilvl w:val="0"/>
          <w:numId w:val="10"/>
        </w:numPr>
        <w:tabs>
          <w:tab w:val="left" w:pos="142"/>
        </w:tabs>
        <w:spacing w:before="100" w:beforeAutospacing="1" w:after="100" w:afterAutospacing="1"/>
        <w:ind w:left="0" w:firstLine="0"/>
        <w:jc w:val="both"/>
        <w:rPr>
          <w:rFonts w:cs="Calibri"/>
        </w:rPr>
      </w:pPr>
      <w:r>
        <w:rPr>
          <w:rFonts w:cs="Calibri"/>
        </w:rPr>
        <w:t>con Deliberazione di C.C. n. 36</w:t>
      </w:r>
      <w:r w:rsidR="00642393" w:rsidRPr="00642393">
        <w:rPr>
          <w:rFonts w:cs="Calibri"/>
        </w:rPr>
        <w:t xml:space="preserve"> del </w:t>
      </w:r>
      <w:r>
        <w:rPr>
          <w:rFonts w:cs="Calibri"/>
        </w:rPr>
        <w:t>29</w:t>
      </w:r>
      <w:r w:rsidR="00642393" w:rsidRPr="00642393">
        <w:rPr>
          <w:rFonts w:cs="Calibri"/>
        </w:rPr>
        <w:t xml:space="preserve">.07.2021 si approvava il </w:t>
      </w:r>
      <w:r w:rsidR="00642393" w:rsidRPr="00642393">
        <w:rPr>
          <w:rFonts w:cs="Calibri"/>
          <w:b/>
          <w:bCs/>
          <w:i/>
        </w:rPr>
        <w:t>Documento Strategico Diffuso del Commercio</w:t>
      </w:r>
      <w:r w:rsidR="002B0DDB">
        <w:rPr>
          <w:rFonts w:cs="Calibri"/>
          <w:b/>
          <w:bCs/>
          <w:i/>
        </w:rPr>
        <w:t xml:space="preserve"> del Comune di Fragagnano</w:t>
      </w:r>
      <w:r w:rsidR="00642393" w:rsidRPr="00642393">
        <w:rPr>
          <w:rFonts w:cs="Calibri"/>
          <w:bCs/>
        </w:rPr>
        <w:t>;</w:t>
      </w:r>
    </w:p>
    <w:p w:rsidR="00642393" w:rsidRDefault="00642393" w:rsidP="00642393">
      <w:pPr>
        <w:numPr>
          <w:ilvl w:val="0"/>
          <w:numId w:val="10"/>
        </w:numPr>
        <w:tabs>
          <w:tab w:val="left" w:pos="142"/>
        </w:tabs>
        <w:spacing w:before="100" w:beforeAutospacing="1" w:after="100" w:afterAutospacing="1"/>
        <w:ind w:left="0" w:firstLine="0"/>
        <w:jc w:val="both"/>
      </w:pPr>
      <w:r>
        <w:t>che l’art 30 c. 6 della L.R. 24/2015 dispone che “</w:t>
      </w:r>
      <w:r w:rsidRPr="003A17B4">
        <w:rPr>
          <w:i/>
        </w:rPr>
        <w:t>Qualora nell’ambito di un mercato venga a crearsi disponibilità di un posteggio, per rinuncia o decadenza, il comune, avendo garantito nelle forme più idonee, adeguata informazione agli operatori in esso presenti, accoglie eventuali istanze di miglioria o cambio di posteggio, ne</w:t>
      </w:r>
      <w:r w:rsidR="00281531">
        <w:rPr>
          <w:i/>
        </w:rPr>
        <w:t>l rispetto dei criteri di prio</w:t>
      </w:r>
      <w:r w:rsidRPr="003A17B4">
        <w:rPr>
          <w:i/>
        </w:rPr>
        <w:t>rità di cui all’articolo 30, comma 4</w:t>
      </w:r>
      <w:r>
        <w:t>”</w:t>
      </w:r>
    </w:p>
    <w:p w:rsidR="002B0DDB" w:rsidRDefault="002B0DDB" w:rsidP="00642393">
      <w:pPr>
        <w:numPr>
          <w:ilvl w:val="0"/>
          <w:numId w:val="10"/>
        </w:numPr>
        <w:tabs>
          <w:tab w:val="left" w:pos="142"/>
        </w:tabs>
        <w:spacing w:before="100" w:beforeAutospacing="1" w:after="100" w:afterAutospacing="1"/>
        <w:ind w:left="0" w:firstLine="0"/>
        <w:jc w:val="both"/>
      </w:pPr>
      <w:r>
        <w:t xml:space="preserve">l’art. 3 lettera L) del </w:t>
      </w:r>
      <w:r w:rsidRPr="00642393">
        <w:rPr>
          <w:rFonts w:cs="Calibri"/>
          <w:b/>
          <w:bCs/>
          <w:i/>
        </w:rPr>
        <w:t>Documento Strategico Diffuso del Commercio</w:t>
      </w:r>
      <w:r>
        <w:rPr>
          <w:rFonts w:cs="Calibri"/>
          <w:b/>
          <w:bCs/>
          <w:i/>
        </w:rPr>
        <w:t xml:space="preserve"> del Comune di Fragagnano </w:t>
      </w:r>
      <w:r>
        <w:rPr>
          <w:rFonts w:cs="Calibri"/>
          <w:bCs/>
        </w:rPr>
        <w:t>fornisce disposizioni sulla procedura di miglioria;</w:t>
      </w:r>
    </w:p>
    <w:p w:rsidR="00642393" w:rsidRDefault="00642393" w:rsidP="00642393">
      <w:pPr>
        <w:tabs>
          <w:tab w:val="left" w:pos="142"/>
        </w:tabs>
        <w:spacing w:before="100" w:beforeAutospacing="1" w:after="100" w:afterAutospacing="1"/>
        <w:ind w:left="0"/>
        <w:jc w:val="both"/>
      </w:pPr>
      <w:r w:rsidRPr="00642393">
        <w:rPr>
          <w:b/>
        </w:rPr>
        <w:t xml:space="preserve">Considerato </w:t>
      </w:r>
      <w:r w:rsidRPr="00642393">
        <w:t xml:space="preserve">che </w:t>
      </w:r>
      <w:r>
        <w:t>nel mercato, a seguito di cessazioni attività e revoche di concessioni, è stata rilevata disponibilità di posteggi liberi, da assegnare in concessione con procedura concorsuale previo espletamento della procedura di miglioria;</w:t>
      </w:r>
    </w:p>
    <w:p w:rsidR="003A17B4" w:rsidRDefault="003A17B4" w:rsidP="00642393">
      <w:pPr>
        <w:tabs>
          <w:tab w:val="left" w:pos="142"/>
        </w:tabs>
        <w:spacing w:before="100" w:beforeAutospacing="1" w:after="100" w:afterAutospacing="1"/>
        <w:ind w:left="0"/>
        <w:jc w:val="both"/>
      </w:pPr>
      <w:r w:rsidRPr="003A17B4">
        <w:rPr>
          <w:b/>
        </w:rPr>
        <w:t>Dato atto</w:t>
      </w:r>
      <w:r>
        <w:t xml:space="preserve"> che i posteggi disponibili sono quelli riportati nel prospetto seguente: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268"/>
        <w:gridCol w:w="1559"/>
        <w:gridCol w:w="4001"/>
      </w:tblGrid>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Numero Posteggio</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Tipologia</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 xml:space="preserve">MQ </w:t>
            </w:r>
          </w:p>
        </w:tc>
        <w:tc>
          <w:tcPr>
            <w:tcW w:w="4001" w:type="dxa"/>
            <w:tcBorders>
              <w:lef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Ubicazione</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6</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Non 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4x8</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Viale della Libertà</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10</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Non 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4x3</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Viale della Libertà</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17</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Non 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4x9</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Viale della Libertà</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21</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Non 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4x8</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Catone</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22</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Non 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4x7</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Catone</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23</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Non 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4x10</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Catone</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29</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4x8</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O. Flacco</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34</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4x6</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O. Flacco</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35</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4x4</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O. Flacco</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36</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4x5</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O. Flacco</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37</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4x3</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O. Flacco</w:t>
            </w:r>
          </w:p>
        </w:tc>
      </w:tr>
      <w:tr w:rsidR="003A17B4" w:rsidRPr="00725902" w:rsidTr="00E75F5F">
        <w:tc>
          <w:tcPr>
            <w:tcW w:w="1701"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38</w:t>
            </w:r>
          </w:p>
        </w:tc>
        <w:tc>
          <w:tcPr>
            <w:tcW w:w="2268" w:type="dxa"/>
            <w:shd w:val="clear" w:color="auto" w:fill="auto"/>
          </w:tcPr>
          <w:p w:rsidR="003A17B4" w:rsidRPr="00725902" w:rsidRDefault="003A17B4" w:rsidP="00725902">
            <w:pPr>
              <w:tabs>
                <w:tab w:val="left" w:pos="142"/>
              </w:tabs>
              <w:spacing w:before="100" w:beforeAutospacing="1" w:after="100" w:afterAutospacing="1"/>
              <w:ind w:left="0"/>
              <w:jc w:val="both"/>
            </w:pPr>
            <w:r w:rsidRPr="00725902">
              <w:t>Alimentare</w:t>
            </w:r>
          </w:p>
        </w:tc>
        <w:tc>
          <w:tcPr>
            <w:tcW w:w="1559" w:type="dxa"/>
            <w:tcBorders>
              <w:right w:val="single" w:sz="4" w:space="0" w:color="auto"/>
            </w:tcBorders>
            <w:shd w:val="clear" w:color="auto" w:fill="auto"/>
          </w:tcPr>
          <w:p w:rsidR="003A17B4" w:rsidRPr="00725902" w:rsidRDefault="003A17B4" w:rsidP="00725902">
            <w:pPr>
              <w:tabs>
                <w:tab w:val="left" w:pos="142"/>
              </w:tabs>
              <w:spacing w:before="100" w:beforeAutospacing="1" w:after="100" w:afterAutospacing="1"/>
              <w:ind w:left="0"/>
              <w:jc w:val="both"/>
            </w:pPr>
            <w:r w:rsidRPr="00725902">
              <w:t>4x7</w:t>
            </w:r>
          </w:p>
        </w:tc>
        <w:tc>
          <w:tcPr>
            <w:tcW w:w="4001" w:type="dxa"/>
            <w:tcBorders>
              <w:left w:val="single" w:sz="4" w:space="0" w:color="auto"/>
            </w:tcBorders>
            <w:shd w:val="clear" w:color="auto" w:fill="auto"/>
          </w:tcPr>
          <w:p w:rsidR="003A17B4" w:rsidRPr="00725902" w:rsidRDefault="004C2F1E" w:rsidP="00725902">
            <w:pPr>
              <w:tabs>
                <w:tab w:val="left" w:pos="142"/>
              </w:tabs>
              <w:spacing w:before="100" w:beforeAutospacing="1" w:after="100" w:afterAutospacing="1"/>
              <w:ind w:left="0"/>
              <w:jc w:val="both"/>
            </w:pPr>
            <w:r>
              <w:t>Via O. Flacco</w:t>
            </w:r>
          </w:p>
        </w:tc>
      </w:tr>
    </w:tbl>
    <w:p w:rsidR="006C362C" w:rsidRDefault="006C362C" w:rsidP="00E75F5F">
      <w:pPr>
        <w:autoSpaceDE w:val="0"/>
        <w:autoSpaceDN w:val="0"/>
        <w:adjustRightInd w:val="0"/>
        <w:spacing w:after="0"/>
        <w:ind w:left="0"/>
        <w:jc w:val="both"/>
        <w:rPr>
          <w:rFonts w:ascii="Times New Roman" w:hAnsi="Times New Roman"/>
          <w:color w:val="000000"/>
        </w:rPr>
      </w:pPr>
    </w:p>
    <w:p w:rsidR="006C362C" w:rsidRPr="00E75F5F" w:rsidRDefault="00E75F5F" w:rsidP="00E75F5F">
      <w:pPr>
        <w:tabs>
          <w:tab w:val="left" w:pos="7200"/>
          <w:tab w:val="right" w:pos="9638"/>
        </w:tabs>
        <w:ind w:left="0"/>
        <w:jc w:val="both"/>
      </w:pPr>
      <w:r w:rsidRPr="00281531">
        <w:rPr>
          <w:b/>
        </w:rPr>
        <w:t>Ritenuto</w:t>
      </w:r>
      <w:r>
        <w:t xml:space="preserve"> di dover provvedere in merito all’avvio della procedura di miglioria, sulla base di quanto disposto dalla normativa regolamentale comunale, procedendo a redigere un avviso pubblico per tutti gli operatori del settore;</w:t>
      </w:r>
    </w:p>
    <w:p w:rsidR="00281531" w:rsidRDefault="00281531" w:rsidP="00281531">
      <w:pPr>
        <w:tabs>
          <w:tab w:val="left" w:pos="7200"/>
          <w:tab w:val="right" w:pos="9638"/>
        </w:tabs>
        <w:ind w:left="0"/>
        <w:jc w:val="both"/>
      </w:pPr>
      <w:r w:rsidRPr="00E75F5F">
        <w:rPr>
          <w:b/>
          <w:bCs/>
        </w:rPr>
        <w:t>Visto</w:t>
      </w:r>
      <w:r>
        <w:t xml:space="preserve"> l’art. 34 c.6 della Legge Regionale 16 aprile 2015, n. 24 “Codice del commercio”; </w:t>
      </w:r>
    </w:p>
    <w:p w:rsidR="00281531" w:rsidRDefault="002B0DDB" w:rsidP="00281531">
      <w:pPr>
        <w:tabs>
          <w:tab w:val="left" w:pos="7200"/>
          <w:tab w:val="right" w:pos="9638"/>
        </w:tabs>
        <w:ind w:left="0"/>
        <w:jc w:val="both"/>
      </w:pPr>
      <w:r w:rsidRPr="00E75F5F">
        <w:rPr>
          <w:b/>
          <w:bCs/>
        </w:rPr>
        <w:t>Visto</w:t>
      </w:r>
      <w:r>
        <w:t xml:space="preserve"> l’art. </w:t>
      </w:r>
      <w:r w:rsidR="00281531">
        <w:t>3</w:t>
      </w:r>
      <w:r>
        <w:t xml:space="preserve"> lettera </w:t>
      </w:r>
      <w:r w:rsidR="00E75F5F">
        <w:t>l</w:t>
      </w:r>
      <w:r>
        <w:t>)</w:t>
      </w:r>
      <w:r w:rsidR="00281531">
        <w:t xml:space="preserve"> del vigente Regolamento comunale di disciplina del commercio sulle aree pubbliche, approvato con deliberazione di </w:t>
      </w:r>
      <w:r w:rsidR="000B0B31">
        <w:rPr>
          <w:rFonts w:cs="Calibri"/>
        </w:rPr>
        <w:t>C.C. n. 36</w:t>
      </w:r>
      <w:r w:rsidRPr="00642393">
        <w:rPr>
          <w:rFonts w:cs="Calibri"/>
        </w:rPr>
        <w:t xml:space="preserve"> del </w:t>
      </w:r>
      <w:r w:rsidR="000B0B31">
        <w:rPr>
          <w:rFonts w:cs="Calibri"/>
        </w:rPr>
        <w:t>29</w:t>
      </w:r>
      <w:r w:rsidRPr="00642393">
        <w:rPr>
          <w:rFonts w:cs="Calibri"/>
        </w:rPr>
        <w:t>.07.2021</w:t>
      </w:r>
      <w:r w:rsidR="00281531">
        <w:t xml:space="preserve">; </w:t>
      </w:r>
    </w:p>
    <w:p w:rsidR="00281531" w:rsidRDefault="00281531" w:rsidP="00281531">
      <w:pPr>
        <w:tabs>
          <w:tab w:val="left" w:pos="7200"/>
          <w:tab w:val="right" w:pos="9638"/>
        </w:tabs>
        <w:ind w:left="0"/>
        <w:jc w:val="both"/>
      </w:pPr>
      <w:r w:rsidRPr="00E75F5F">
        <w:rPr>
          <w:b/>
          <w:bCs/>
        </w:rPr>
        <w:t>Dato atto che</w:t>
      </w:r>
      <w:r w:rsidRPr="00E75F5F">
        <w:t xml:space="preserve"> il presente provvedimento non necessita dell’attestazione di copertura finanziaria in quanto non comporta oneri di spesa né diminuzione di entrate a carico di questa Amministrazione</w:t>
      </w:r>
      <w:r w:rsidR="00E75F5F">
        <w:t>;</w:t>
      </w:r>
    </w:p>
    <w:p w:rsidR="00E75F5F" w:rsidRPr="00EA2C9F" w:rsidRDefault="00E75F5F" w:rsidP="00463CAD">
      <w:pPr>
        <w:autoSpaceDE w:val="0"/>
        <w:autoSpaceDN w:val="0"/>
        <w:adjustRightInd w:val="0"/>
        <w:ind w:left="0"/>
        <w:jc w:val="left"/>
        <w:rPr>
          <w:rFonts w:cs="Calibri"/>
          <w:b/>
          <w:bCs/>
        </w:rPr>
      </w:pPr>
      <w:r w:rsidRPr="00EA2C9F">
        <w:rPr>
          <w:rFonts w:cs="Calibri"/>
          <w:b/>
          <w:bCs/>
        </w:rPr>
        <w:t>Tutto ciò premesso, previa attestazione che:</w:t>
      </w:r>
    </w:p>
    <w:p w:rsidR="00E75F5F" w:rsidRPr="00EA2C9F" w:rsidRDefault="00E75F5F" w:rsidP="00E75F5F">
      <w:pPr>
        <w:numPr>
          <w:ilvl w:val="0"/>
          <w:numId w:val="14"/>
        </w:numPr>
        <w:autoSpaceDE w:val="0"/>
        <w:autoSpaceDN w:val="0"/>
        <w:adjustRightInd w:val="0"/>
        <w:spacing w:after="0"/>
        <w:ind w:left="284" w:hanging="284"/>
        <w:jc w:val="both"/>
        <w:rPr>
          <w:rFonts w:cs="Calibri"/>
        </w:rPr>
      </w:pPr>
      <w:r w:rsidRPr="00EA2C9F">
        <w:rPr>
          <w:rFonts w:cs="Calibri"/>
        </w:rPr>
        <w:lastRenderedPageBreak/>
        <w:t>il procedimento istruttorio è coerente con i documenti di bilancio ed è stato espletato nel rispetto della vigente normativa di legge e dei principi di regolarità e correttezza dell’azione amministrativa ai sensi dell’art. 147-bis comma 1, D.Lgs. n. 267/2000 e ss.mm. e ii. nonché della disciplina regolamentare comunale in materia;</w:t>
      </w:r>
    </w:p>
    <w:p w:rsidR="00E75F5F" w:rsidRPr="00EA2C9F" w:rsidRDefault="00E75F5F" w:rsidP="00E75F5F">
      <w:pPr>
        <w:numPr>
          <w:ilvl w:val="0"/>
          <w:numId w:val="14"/>
        </w:numPr>
        <w:autoSpaceDE w:val="0"/>
        <w:autoSpaceDN w:val="0"/>
        <w:adjustRightInd w:val="0"/>
        <w:spacing w:after="0"/>
        <w:ind w:left="284" w:hanging="284"/>
        <w:jc w:val="both"/>
        <w:rPr>
          <w:rFonts w:cs="Calibri"/>
        </w:rPr>
      </w:pPr>
      <w:r w:rsidRPr="00EA2C9F">
        <w:rPr>
          <w:rFonts w:cs="Calibri"/>
        </w:rPr>
        <w:t>lo schema di provvedimento predisposto ai fini dell’adozione dell’atto finale da parte del Responsabile del settore, è conforme alle risultanze istruttorie;</w:t>
      </w:r>
    </w:p>
    <w:p w:rsidR="00E75F5F" w:rsidRPr="00EA2C9F" w:rsidRDefault="00E75F5F" w:rsidP="00E75F5F">
      <w:pPr>
        <w:numPr>
          <w:ilvl w:val="0"/>
          <w:numId w:val="14"/>
        </w:numPr>
        <w:autoSpaceDE w:val="0"/>
        <w:autoSpaceDN w:val="0"/>
        <w:adjustRightInd w:val="0"/>
        <w:spacing w:after="0"/>
        <w:ind w:left="284" w:hanging="284"/>
        <w:jc w:val="both"/>
        <w:rPr>
          <w:rFonts w:cs="Calibri"/>
        </w:rPr>
      </w:pPr>
      <w:r w:rsidRPr="00EA2C9F">
        <w:rPr>
          <w:rFonts w:cs="Calibri"/>
        </w:rPr>
        <w:t>la pubblicazione dell’atto all’Albo on line del Comune, salve le garanzie previste dalla legge 241/1990 e ss.mm. e ii. in tema di accesso ai documenti amministrativi, avverrà nel rispetto della tutela alla riservatezza dei cittadini, secondo quanto disposto dal D.Lgs. n. 196/2003 e ss.mm. e ii. in materia di protezione dei dati personali;</w:t>
      </w:r>
    </w:p>
    <w:p w:rsidR="00E75F5F" w:rsidRPr="00EA2C9F" w:rsidRDefault="00E75F5F" w:rsidP="00E75F5F">
      <w:pPr>
        <w:numPr>
          <w:ilvl w:val="0"/>
          <w:numId w:val="14"/>
        </w:numPr>
        <w:autoSpaceDE w:val="0"/>
        <w:autoSpaceDN w:val="0"/>
        <w:adjustRightInd w:val="0"/>
        <w:spacing w:after="240"/>
        <w:ind w:left="284" w:hanging="284"/>
        <w:jc w:val="both"/>
        <w:rPr>
          <w:rFonts w:cs="Calibri"/>
        </w:rPr>
      </w:pPr>
      <w:r w:rsidRPr="00EA2C9F">
        <w:rPr>
          <w:rFonts w:cs="Calibri"/>
        </w:rPr>
        <w:t>ai fini della pubblicità legale, l’atto destinato alla pubblicazione è redatto in modo da evitare la diffusione di dati personali identificativi non necessari ovvero il riferimento a dati sensibili, qualora tali dati fossero indispensabili per l’adozione dell’atto, sarà contenuto in documenti separati, esplicitamente richiamati;</w:t>
      </w:r>
    </w:p>
    <w:p w:rsidR="00E75F5F" w:rsidRDefault="00E75F5F" w:rsidP="00E75F5F">
      <w:pPr>
        <w:autoSpaceDE w:val="0"/>
        <w:autoSpaceDN w:val="0"/>
        <w:adjustRightInd w:val="0"/>
        <w:spacing w:after="240"/>
        <w:ind w:left="0"/>
        <w:jc w:val="both"/>
        <w:rPr>
          <w:rFonts w:cs="Calibri"/>
        </w:rPr>
      </w:pPr>
      <w:r w:rsidRPr="00EA2C9F">
        <w:rPr>
          <w:rFonts w:cs="Calibri"/>
          <w:b/>
          <w:bCs/>
        </w:rPr>
        <w:t xml:space="preserve">IN FORZA </w:t>
      </w:r>
      <w:r w:rsidRPr="00EA2C9F">
        <w:rPr>
          <w:rFonts w:cs="Calibri"/>
        </w:rPr>
        <w:t xml:space="preserve">del Decreto Sindacale </w:t>
      </w:r>
      <w:r w:rsidRPr="00EA2C9F">
        <w:rPr>
          <w:rFonts w:cs="Calibri"/>
          <w:i/>
          <w:iCs/>
        </w:rPr>
        <w:t>n. 3/2022</w:t>
      </w:r>
      <w:r w:rsidRPr="00EA2C9F">
        <w:rPr>
          <w:rFonts w:cs="Calibri"/>
        </w:rPr>
        <w:t xml:space="preserve"> con il quale è stata attribuita la Responsabilità del </w:t>
      </w:r>
      <w:r w:rsidRPr="00EA2C9F">
        <w:rPr>
          <w:rFonts w:cs="Calibri"/>
          <w:i/>
        </w:rPr>
        <w:t xml:space="preserve">Settore III – Ufficio Tecnico – SUAP, </w:t>
      </w:r>
      <w:r w:rsidRPr="00EA2C9F">
        <w:rPr>
          <w:rFonts w:cs="Calibri"/>
        </w:rPr>
        <w:t>all’Arch</w:t>
      </w:r>
      <w:r w:rsidRPr="00EA2C9F">
        <w:rPr>
          <w:rFonts w:cs="Calibri"/>
          <w:i/>
        </w:rPr>
        <w:t>. Maria Addolorata FEDELE</w:t>
      </w:r>
      <w:r w:rsidRPr="00EA2C9F">
        <w:rPr>
          <w:rFonts w:cs="Calibri"/>
        </w:rPr>
        <w:t>;</w:t>
      </w:r>
    </w:p>
    <w:p w:rsidR="00E75F5F" w:rsidRPr="00973AD8" w:rsidRDefault="00E75F5F" w:rsidP="00583ABC">
      <w:pPr>
        <w:autoSpaceDE w:val="0"/>
        <w:autoSpaceDN w:val="0"/>
        <w:adjustRightInd w:val="0"/>
        <w:ind w:left="0"/>
        <w:jc w:val="both"/>
        <w:rPr>
          <w:rFonts w:cs="Calibri"/>
        </w:rPr>
      </w:pPr>
      <w:r w:rsidRPr="00E75F5F">
        <w:rPr>
          <w:rFonts w:cs="Calibri"/>
          <w:b/>
          <w:bCs/>
        </w:rPr>
        <w:t>RICHIAMATA</w:t>
      </w:r>
      <w:r>
        <w:rPr>
          <w:rFonts w:cs="Calibri"/>
        </w:rPr>
        <w:t xml:space="preserve"> la Determinazione n. 366 del 22.09.2022 </w:t>
      </w:r>
      <w:r w:rsidRPr="00973AD8">
        <w:rPr>
          <w:rFonts w:cs="Calibri"/>
        </w:rPr>
        <w:t xml:space="preserve">di nomina </w:t>
      </w:r>
      <w:r>
        <w:rPr>
          <w:rFonts w:cs="Calibri"/>
        </w:rPr>
        <w:t>della dipendente Graziana PISARRA</w:t>
      </w:r>
      <w:r w:rsidRPr="00973AD8">
        <w:rPr>
          <w:rFonts w:cs="Calibri"/>
        </w:rPr>
        <w:t xml:space="preserve"> quale responsabile dei procedimenti inerenti l’Ufficio commercio ai sensi della L. 241/90;</w:t>
      </w:r>
    </w:p>
    <w:p w:rsidR="00E75F5F" w:rsidRPr="00EA2C9F" w:rsidRDefault="00E75F5F" w:rsidP="00E75F5F">
      <w:pPr>
        <w:autoSpaceDE w:val="0"/>
        <w:autoSpaceDN w:val="0"/>
        <w:adjustRightInd w:val="0"/>
        <w:spacing w:after="0"/>
        <w:ind w:left="0"/>
        <w:jc w:val="both"/>
        <w:rPr>
          <w:rFonts w:cs="Calibri"/>
          <w:b/>
          <w:bCs/>
          <w:color w:val="080000"/>
        </w:rPr>
      </w:pPr>
      <w:r w:rsidRPr="00EA2C9F">
        <w:rPr>
          <w:rFonts w:cs="Calibri"/>
          <w:b/>
          <w:bCs/>
          <w:color w:val="080000"/>
        </w:rPr>
        <w:t>VISTI:</w:t>
      </w:r>
    </w:p>
    <w:p w:rsidR="00583ABC" w:rsidRDefault="00E75F5F" w:rsidP="00583ABC">
      <w:pPr>
        <w:numPr>
          <w:ilvl w:val="0"/>
          <w:numId w:val="11"/>
        </w:numPr>
        <w:autoSpaceDE w:val="0"/>
        <w:autoSpaceDN w:val="0"/>
        <w:adjustRightInd w:val="0"/>
        <w:spacing w:after="0"/>
        <w:ind w:left="284" w:hanging="284"/>
        <w:jc w:val="both"/>
        <w:rPr>
          <w:rFonts w:cs="Calibri"/>
          <w:color w:val="080000"/>
        </w:rPr>
      </w:pPr>
      <w:r w:rsidRPr="00EA2C9F">
        <w:rPr>
          <w:rFonts w:cs="Calibri"/>
          <w:color w:val="080000"/>
        </w:rPr>
        <w:t>il D.Lgs. 18 agosto 2000, n. 267, “Testo unico delle leggi sull'ordinamento degli enti locali”</w:t>
      </w:r>
      <w:r w:rsidR="00583ABC">
        <w:rPr>
          <w:rFonts w:cs="Calibri"/>
          <w:color w:val="080000"/>
        </w:rPr>
        <w:t>;</w:t>
      </w:r>
    </w:p>
    <w:p w:rsidR="00583ABC" w:rsidRDefault="00E75F5F" w:rsidP="00583ABC">
      <w:pPr>
        <w:numPr>
          <w:ilvl w:val="0"/>
          <w:numId w:val="11"/>
        </w:numPr>
        <w:autoSpaceDE w:val="0"/>
        <w:autoSpaceDN w:val="0"/>
        <w:adjustRightInd w:val="0"/>
        <w:spacing w:after="0"/>
        <w:ind w:left="284" w:hanging="284"/>
        <w:jc w:val="both"/>
        <w:rPr>
          <w:rFonts w:cs="Calibri"/>
          <w:color w:val="080000"/>
        </w:rPr>
      </w:pPr>
      <w:r w:rsidRPr="00583ABC">
        <w:rPr>
          <w:rFonts w:cs="Calibri"/>
        </w:rPr>
        <w:t>i Regolamenti Comunali;</w:t>
      </w:r>
    </w:p>
    <w:p w:rsidR="00583ABC" w:rsidRDefault="00583ABC" w:rsidP="00583ABC">
      <w:pPr>
        <w:numPr>
          <w:ilvl w:val="0"/>
          <w:numId w:val="11"/>
        </w:numPr>
        <w:autoSpaceDE w:val="0"/>
        <w:autoSpaceDN w:val="0"/>
        <w:adjustRightInd w:val="0"/>
        <w:spacing w:after="0"/>
        <w:ind w:left="284" w:hanging="284"/>
        <w:jc w:val="both"/>
        <w:rPr>
          <w:rFonts w:cs="Calibri"/>
          <w:color w:val="080000"/>
        </w:rPr>
      </w:pPr>
      <w:r>
        <w:t>la Legge regionale 16.04.2015, n. 24 “Codice del commercio”;</w:t>
      </w:r>
    </w:p>
    <w:p w:rsidR="00583ABC" w:rsidRDefault="00583ABC" w:rsidP="00583ABC">
      <w:pPr>
        <w:numPr>
          <w:ilvl w:val="0"/>
          <w:numId w:val="11"/>
        </w:numPr>
        <w:autoSpaceDE w:val="0"/>
        <w:autoSpaceDN w:val="0"/>
        <w:adjustRightInd w:val="0"/>
        <w:spacing w:after="0"/>
        <w:ind w:left="284" w:hanging="284"/>
        <w:jc w:val="both"/>
        <w:rPr>
          <w:rFonts w:cs="Calibri"/>
          <w:color w:val="080000"/>
        </w:rPr>
      </w:pPr>
      <w:r>
        <w:t>il Regolamento Regionale 28.02.2017, n. 4;</w:t>
      </w:r>
    </w:p>
    <w:p w:rsidR="00583ABC" w:rsidRDefault="00583ABC" w:rsidP="00583ABC">
      <w:pPr>
        <w:numPr>
          <w:ilvl w:val="0"/>
          <w:numId w:val="11"/>
        </w:numPr>
        <w:autoSpaceDE w:val="0"/>
        <w:autoSpaceDN w:val="0"/>
        <w:adjustRightInd w:val="0"/>
        <w:spacing w:after="0"/>
        <w:ind w:left="284" w:hanging="284"/>
        <w:jc w:val="both"/>
        <w:rPr>
          <w:rFonts w:cs="Calibri"/>
          <w:color w:val="080000"/>
        </w:rPr>
      </w:pPr>
      <w:r w:rsidRPr="00583ABC">
        <w:rPr>
          <w:rFonts w:cs="Calibri"/>
        </w:rPr>
        <w:t>il “Regolamento per il commercio su aree pubbliche” approvato dall’Unione dei Comuni delle Terre del Mare e del Sole ed adottato dal Comune di Fragagnano con Del. di C.C. n. 21 del 30.07.2021;</w:t>
      </w:r>
    </w:p>
    <w:p w:rsidR="00583ABC" w:rsidRPr="00583ABC" w:rsidRDefault="00583ABC" w:rsidP="00583ABC">
      <w:pPr>
        <w:numPr>
          <w:ilvl w:val="0"/>
          <w:numId w:val="11"/>
        </w:numPr>
        <w:autoSpaceDE w:val="0"/>
        <w:autoSpaceDN w:val="0"/>
        <w:adjustRightInd w:val="0"/>
        <w:ind w:left="284" w:hanging="284"/>
        <w:jc w:val="both"/>
        <w:rPr>
          <w:rFonts w:cs="Calibri"/>
          <w:color w:val="080000"/>
        </w:rPr>
      </w:pPr>
      <w:r>
        <w:t>le vigenti disposizioni comunali in materia di commercio su aree pubbliche;</w:t>
      </w:r>
    </w:p>
    <w:p w:rsidR="00E75F5F" w:rsidRPr="00583ABC" w:rsidRDefault="00E75F5F" w:rsidP="00583ABC">
      <w:pPr>
        <w:autoSpaceDE w:val="0"/>
        <w:autoSpaceDN w:val="0"/>
        <w:adjustRightInd w:val="0"/>
        <w:spacing w:after="0"/>
        <w:ind w:left="0"/>
        <w:jc w:val="both"/>
        <w:rPr>
          <w:rFonts w:cs="Calibri"/>
          <w:color w:val="080000"/>
        </w:rPr>
      </w:pPr>
      <w:r w:rsidRPr="00583ABC">
        <w:rPr>
          <w:rFonts w:cs="Calibri"/>
          <w:b/>
          <w:bCs/>
        </w:rPr>
        <w:t xml:space="preserve">ATTESTATA </w:t>
      </w:r>
      <w:r w:rsidRPr="00583ABC">
        <w:rPr>
          <w:rFonts w:cs="Calibri"/>
        </w:rPr>
        <w:t>la regolarità e la correttezza dell’azione amministrativa ai sensi degli artt. 147 e 147- bis, del D.Lgs. n. 267/2000 e ss.mm.ii.;</w:t>
      </w:r>
    </w:p>
    <w:p w:rsidR="00E75F5F" w:rsidRDefault="00E75F5F" w:rsidP="00583ABC">
      <w:pPr>
        <w:autoSpaceDE w:val="0"/>
        <w:autoSpaceDN w:val="0"/>
        <w:adjustRightInd w:val="0"/>
        <w:spacing w:after="0"/>
        <w:ind w:left="0"/>
        <w:jc w:val="both"/>
        <w:rPr>
          <w:rFonts w:cs="Calibri"/>
        </w:rPr>
      </w:pPr>
      <w:r w:rsidRPr="00EA2C9F">
        <w:rPr>
          <w:rFonts w:cs="Calibri"/>
          <w:b/>
          <w:bCs/>
        </w:rPr>
        <w:t>VISTA</w:t>
      </w:r>
      <w:r w:rsidRPr="00EA2C9F">
        <w:rPr>
          <w:rFonts w:cs="Calibri"/>
        </w:rPr>
        <w:t xml:space="preserve"> LA D.C.C. n 20 del 28.04.2022 recante “APPROVAZIONE DEL BILANCIO DI PREVISIONE FINANZIARIO 2022-2024 (ART. 151, D.LGS. N. 267/2000 E ART. 10, D.LGS. N. 118/2011)”;</w:t>
      </w:r>
    </w:p>
    <w:p w:rsidR="00583ABC" w:rsidRPr="00F1301E" w:rsidRDefault="00583ABC" w:rsidP="00583ABC">
      <w:pPr>
        <w:autoSpaceDE w:val="0"/>
        <w:autoSpaceDN w:val="0"/>
        <w:adjustRightInd w:val="0"/>
        <w:spacing w:after="240"/>
        <w:ind w:left="0"/>
        <w:jc w:val="both"/>
        <w:rPr>
          <w:rFonts w:cs="Calibri"/>
          <w:color w:val="080000"/>
        </w:rPr>
      </w:pPr>
      <w:r w:rsidRPr="00F1301E">
        <w:rPr>
          <w:rFonts w:cs="Calibri"/>
          <w:b/>
          <w:bCs/>
        </w:rPr>
        <w:t xml:space="preserve">RICHIAMATA </w:t>
      </w:r>
      <w:r w:rsidRPr="00F1301E">
        <w:rPr>
          <w:rFonts w:cs="Calibri"/>
        </w:rPr>
        <w:t>la D.G.C. n. 80 del 24.05.2022 recante “APPROVAZIONE DEL PIANO ESECUTIVO DI GESTIONE 2022/2024 (ART. 169 DEL D.LGS. N. 267/2000) E DEFINIZIONE DEGLI OBIETTIVI DI GESTIONE”;</w:t>
      </w:r>
    </w:p>
    <w:p w:rsidR="00583ABC" w:rsidRPr="00EA2C9F" w:rsidRDefault="00583ABC" w:rsidP="00583ABC">
      <w:pPr>
        <w:autoSpaceDE w:val="0"/>
        <w:autoSpaceDN w:val="0"/>
        <w:adjustRightInd w:val="0"/>
        <w:ind w:left="0"/>
        <w:jc w:val="both"/>
        <w:rPr>
          <w:rFonts w:cs="Calibri"/>
        </w:rPr>
      </w:pPr>
    </w:p>
    <w:p w:rsidR="00E75F5F" w:rsidRPr="00EA2C9F" w:rsidRDefault="00E75F5F" w:rsidP="00583ABC">
      <w:pPr>
        <w:autoSpaceDE w:val="0"/>
        <w:autoSpaceDN w:val="0"/>
        <w:adjustRightInd w:val="0"/>
        <w:spacing w:after="240"/>
        <w:ind w:left="0"/>
        <w:rPr>
          <w:rFonts w:cs="Calibri"/>
          <w:b/>
          <w:bCs/>
          <w:color w:val="080000"/>
        </w:rPr>
      </w:pPr>
      <w:r w:rsidRPr="00EA2C9F">
        <w:rPr>
          <w:rFonts w:cs="Calibri"/>
          <w:b/>
          <w:bCs/>
          <w:color w:val="080000"/>
        </w:rPr>
        <w:t>DETERMINA</w:t>
      </w:r>
    </w:p>
    <w:p w:rsidR="00583ABC" w:rsidRDefault="00E75F5F" w:rsidP="00583ABC">
      <w:pPr>
        <w:numPr>
          <w:ilvl w:val="0"/>
          <w:numId w:val="13"/>
        </w:numPr>
        <w:tabs>
          <w:tab w:val="left" w:pos="284"/>
        </w:tabs>
        <w:autoSpaceDE w:val="0"/>
        <w:autoSpaceDN w:val="0"/>
        <w:adjustRightInd w:val="0"/>
        <w:spacing w:after="0"/>
        <w:ind w:left="0" w:firstLine="0"/>
        <w:jc w:val="both"/>
        <w:rPr>
          <w:rFonts w:cs="Calibri"/>
        </w:rPr>
      </w:pPr>
      <w:r w:rsidRPr="00EA2C9F">
        <w:rPr>
          <w:rFonts w:cs="Calibri"/>
          <w:b/>
          <w:bCs/>
        </w:rPr>
        <w:t xml:space="preserve">Di ritenere </w:t>
      </w:r>
      <w:r w:rsidRPr="00EA2C9F">
        <w:rPr>
          <w:rFonts w:cs="Calibri"/>
        </w:rPr>
        <w:t>parte integrante del presente provvedimento quanto riportato nelle premesse e nella narrativa, che qui si intende integralmente trascritto;</w:t>
      </w:r>
    </w:p>
    <w:p w:rsidR="00583ABC" w:rsidRDefault="00281531" w:rsidP="00583ABC">
      <w:pPr>
        <w:numPr>
          <w:ilvl w:val="0"/>
          <w:numId w:val="13"/>
        </w:numPr>
        <w:tabs>
          <w:tab w:val="left" w:pos="284"/>
        </w:tabs>
        <w:autoSpaceDE w:val="0"/>
        <w:autoSpaceDN w:val="0"/>
        <w:adjustRightInd w:val="0"/>
        <w:spacing w:after="0"/>
        <w:ind w:left="0" w:firstLine="0"/>
        <w:jc w:val="both"/>
        <w:rPr>
          <w:rFonts w:cs="Calibri"/>
        </w:rPr>
      </w:pPr>
      <w:r w:rsidRPr="00583ABC">
        <w:rPr>
          <w:b/>
          <w:bCs/>
        </w:rPr>
        <w:t xml:space="preserve">di </w:t>
      </w:r>
      <w:r w:rsidR="00583ABC">
        <w:rPr>
          <w:b/>
          <w:bCs/>
        </w:rPr>
        <w:t>avviare</w:t>
      </w:r>
      <w:r>
        <w:t xml:space="preserve">, ai sensi di quanto disposto dall’art. </w:t>
      </w:r>
      <w:r w:rsidRPr="002B0DDB">
        <w:t>3</w:t>
      </w:r>
      <w:r>
        <w:t xml:space="preserve"> del Regolamento comunale per la disciplina del commercio su aree pubbliche, approvato con deliberazione </w:t>
      </w:r>
      <w:r w:rsidR="002B0DDB">
        <w:t xml:space="preserve">di </w:t>
      </w:r>
      <w:r w:rsidR="002B0DDB" w:rsidRPr="00583ABC">
        <w:rPr>
          <w:rFonts w:cs="Calibri"/>
        </w:rPr>
        <w:t xml:space="preserve">C.C. n. </w:t>
      </w:r>
      <w:r w:rsidR="000B0B31" w:rsidRPr="00583ABC">
        <w:rPr>
          <w:rFonts w:cs="Calibri"/>
        </w:rPr>
        <w:t>36</w:t>
      </w:r>
      <w:r w:rsidR="002B0DDB" w:rsidRPr="00583ABC">
        <w:rPr>
          <w:rFonts w:cs="Calibri"/>
        </w:rPr>
        <w:t xml:space="preserve"> del </w:t>
      </w:r>
      <w:r w:rsidR="000B0B31" w:rsidRPr="00583ABC">
        <w:rPr>
          <w:rFonts w:cs="Calibri"/>
        </w:rPr>
        <w:t>29</w:t>
      </w:r>
      <w:r w:rsidR="002B0DDB" w:rsidRPr="00583ABC">
        <w:rPr>
          <w:rFonts w:cs="Calibri"/>
        </w:rPr>
        <w:t>.07.2021</w:t>
      </w:r>
      <w:r>
        <w:t>, la procedura di migl</w:t>
      </w:r>
      <w:r w:rsidR="005B02F4">
        <w:t>ioria per l’assegnazione di n. 12</w:t>
      </w:r>
      <w:r>
        <w:t xml:space="preserve"> (</w:t>
      </w:r>
      <w:r w:rsidR="005B02F4">
        <w:t>dodici</w:t>
      </w:r>
      <w:r>
        <w:t xml:space="preserve">) posteggi liberi all’interno del mercato settimanale del mercoledì, a favore di coloro che, già titolari di concessione nel mercato stesso, intendano migliorare le caratteristiche economico-commerciali del proprio posteggio; </w:t>
      </w:r>
    </w:p>
    <w:p w:rsidR="00583ABC" w:rsidRDefault="00281531" w:rsidP="00583ABC">
      <w:pPr>
        <w:numPr>
          <w:ilvl w:val="0"/>
          <w:numId w:val="13"/>
        </w:numPr>
        <w:tabs>
          <w:tab w:val="left" w:pos="284"/>
        </w:tabs>
        <w:autoSpaceDE w:val="0"/>
        <w:autoSpaceDN w:val="0"/>
        <w:adjustRightInd w:val="0"/>
        <w:spacing w:after="0"/>
        <w:ind w:left="0" w:firstLine="0"/>
        <w:jc w:val="both"/>
        <w:rPr>
          <w:rFonts w:cs="Calibri"/>
        </w:rPr>
      </w:pPr>
      <w:r w:rsidRPr="00583ABC">
        <w:rPr>
          <w:b/>
          <w:bCs/>
        </w:rPr>
        <w:t>di approvare</w:t>
      </w:r>
      <w:r>
        <w:t xml:space="preserve"> per le finalità di cui sopra l’avviso pubblico relativo alla procedura di miglioria di</w:t>
      </w:r>
      <w:r w:rsidR="005B02F4">
        <w:t xml:space="preserve"> </w:t>
      </w:r>
      <w:r>
        <w:t>cui trattasi, nonché l’elenco dei posteggi rimasti liberi disponibili per la procedura stessa, ed il modello da utilizzare per l’inoltro della domanda da parte dei soggetti interessati, che si allegano al presente atto formandone parte integrante e sostanziale;</w:t>
      </w:r>
    </w:p>
    <w:p w:rsidR="000200A6" w:rsidRDefault="005B02F4" w:rsidP="000200A6">
      <w:pPr>
        <w:numPr>
          <w:ilvl w:val="0"/>
          <w:numId w:val="13"/>
        </w:numPr>
        <w:tabs>
          <w:tab w:val="left" w:pos="284"/>
        </w:tabs>
        <w:autoSpaceDE w:val="0"/>
        <w:autoSpaceDN w:val="0"/>
        <w:adjustRightInd w:val="0"/>
        <w:spacing w:after="0"/>
        <w:ind w:left="0" w:firstLine="0"/>
        <w:jc w:val="both"/>
        <w:rPr>
          <w:rFonts w:cs="Calibri"/>
        </w:rPr>
      </w:pPr>
      <w:r w:rsidRPr="00583ABC">
        <w:rPr>
          <w:b/>
          <w:bCs/>
        </w:rPr>
        <w:t>di predisporre</w:t>
      </w:r>
      <w:r>
        <w:t xml:space="preserve"> quanto necessario per la pubblicazione del suddetto avviso pubblico all’Albo Pretorio Comunale on-line e </w:t>
      </w:r>
      <w:r w:rsidR="005319F2">
        <w:t xml:space="preserve">sul sito internet del Comune </w:t>
      </w:r>
      <w:r w:rsidR="005319F2" w:rsidRPr="005319F2">
        <w:t>http</w:t>
      </w:r>
      <w:r w:rsidR="005319F2">
        <w:t>s://www.comune.fragagnano.ta.it</w:t>
      </w:r>
      <w:r>
        <w:t xml:space="preserve">, ai fini della generale conoscenza e della massima diffusione fra i destinatari; </w:t>
      </w:r>
    </w:p>
    <w:p w:rsidR="00B6191F" w:rsidRPr="000200A6" w:rsidRDefault="00B6191F" w:rsidP="000200A6">
      <w:pPr>
        <w:numPr>
          <w:ilvl w:val="0"/>
          <w:numId w:val="13"/>
        </w:numPr>
        <w:tabs>
          <w:tab w:val="left" w:pos="284"/>
        </w:tabs>
        <w:autoSpaceDE w:val="0"/>
        <w:autoSpaceDN w:val="0"/>
        <w:adjustRightInd w:val="0"/>
        <w:spacing w:after="0"/>
        <w:ind w:left="0" w:firstLine="0"/>
        <w:jc w:val="both"/>
        <w:rPr>
          <w:rFonts w:cs="Calibri"/>
        </w:rPr>
      </w:pPr>
      <w:r w:rsidRPr="000200A6">
        <w:rPr>
          <w:rFonts w:cs="Calibri"/>
          <w:b/>
        </w:rPr>
        <w:lastRenderedPageBreak/>
        <w:t>Di dare atto che</w:t>
      </w:r>
      <w:r w:rsidRPr="000200A6">
        <w:rPr>
          <w:rFonts w:cs="Calibri"/>
        </w:rPr>
        <w:t xml:space="preserve">, </w:t>
      </w:r>
      <w:r w:rsidRPr="000200A6">
        <w:rPr>
          <w:rFonts w:cs="Calibri"/>
          <w:bCs/>
        </w:rPr>
        <w:t xml:space="preserve">la pubblicazione del presente bando sul sito ufficiale del Comune di Fragagnano </w:t>
      </w:r>
      <w:hyperlink r:id="rId8" w:history="1">
        <w:r w:rsidRPr="000200A6">
          <w:rPr>
            <w:rStyle w:val="Collegamentoipertestuale"/>
            <w:rFonts w:cs="Calibri"/>
            <w:bCs/>
          </w:rPr>
          <w:t>https://www.comune.fragagnano.ta.it/</w:t>
        </w:r>
      </w:hyperlink>
      <w:r w:rsidRPr="000200A6">
        <w:rPr>
          <w:rFonts w:cs="Calibri"/>
          <w:bCs/>
        </w:rPr>
        <w:t xml:space="preserve"> equivale ad ogni effetto alla notifica agli operatori;</w:t>
      </w:r>
    </w:p>
    <w:p w:rsidR="00463CAD" w:rsidRDefault="00583ABC" w:rsidP="00463CAD">
      <w:pPr>
        <w:numPr>
          <w:ilvl w:val="0"/>
          <w:numId w:val="13"/>
        </w:numPr>
        <w:tabs>
          <w:tab w:val="left" w:pos="284"/>
        </w:tabs>
        <w:autoSpaceDE w:val="0"/>
        <w:autoSpaceDN w:val="0"/>
        <w:adjustRightInd w:val="0"/>
        <w:spacing w:after="0"/>
        <w:ind w:left="0" w:firstLine="0"/>
        <w:jc w:val="both"/>
        <w:rPr>
          <w:rFonts w:cs="Calibri"/>
        </w:rPr>
      </w:pPr>
      <w:r w:rsidRPr="00463CAD">
        <w:rPr>
          <w:rFonts w:cs="Calibri"/>
          <w:b/>
          <w:bCs/>
        </w:rPr>
        <w:t xml:space="preserve">di dare atto </w:t>
      </w:r>
      <w:r w:rsidRPr="00463CAD">
        <w:rPr>
          <w:rFonts w:cs="Calibri"/>
        </w:rPr>
        <w:t>che con l’apposizione del VISTO di regolarità contabile, il presente atto sarà esecutivo a norma di legge, in quanto la pubblicazione afferisce ad esigenze di trasparenza ma non condiziona l’efficacia del provvedimento ormai perfetto sul piano amministrativo;</w:t>
      </w:r>
    </w:p>
    <w:p w:rsidR="00463CAD" w:rsidRDefault="00583ABC" w:rsidP="00463CAD">
      <w:pPr>
        <w:numPr>
          <w:ilvl w:val="0"/>
          <w:numId w:val="13"/>
        </w:numPr>
        <w:tabs>
          <w:tab w:val="left" w:pos="284"/>
        </w:tabs>
        <w:autoSpaceDE w:val="0"/>
        <w:autoSpaceDN w:val="0"/>
        <w:adjustRightInd w:val="0"/>
        <w:spacing w:after="0"/>
        <w:ind w:left="0" w:firstLine="0"/>
        <w:jc w:val="both"/>
        <w:rPr>
          <w:rFonts w:cs="Calibri"/>
        </w:rPr>
      </w:pPr>
      <w:r w:rsidRPr="00463CAD">
        <w:rPr>
          <w:rFonts w:cs="Calibri"/>
          <w:b/>
          <w:bCs/>
        </w:rPr>
        <w:t xml:space="preserve">Di pubblicare </w:t>
      </w:r>
      <w:r w:rsidRPr="00463CAD">
        <w:rPr>
          <w:rFonts w:cs="Calibri"/>
        </w:rPr>
        <w:t>il presente atto a norma delle disposizioni legislative e regolamentari vigenti in materia di pubblicazione e di trasparenza degli atti pubblici, nel rispetto delle disposizioni in materia di riservatezza dei dati personali;</w:t>
      </w:r>
    </w:p>
    <w:p w:rsidR="00463CAD" w:rsidRDefault="00583ABC" w:rsidP="00463CAD">
      <w:pPr>
        <w:numPr>
          <w:ilvl w:val="0"/>
          <w:numId w:val="13"/>
        </w:numPr>
        <w:tabs>
          <w:tab w:val="left" w:pos="284"/>
        </w:tabs>
        <w:autoSpaceDE w:val="0"/>
        <w:autoSpaceDN w:val="0"/>
        <w:adjustRightInd w:val="0"/>
        <w:spacing w:after="0"/>
        <w:ind w:left="0" w:firstLine="0"/>
        <w:jc w:val="both"/>
        <w:rPr>
          <w:rFonts w:cs="Calibri"/>
        </w:rPr>
      </w:pPr>
      <w:r w:rsidRPr="00463CAD">
        <w:rPr>
          <w:rFonts w:cs="Calibri"/>
          <w:b/>
          <w:bCs/>
        </w:rPr>
        <w:t>Di pubblicare</w:t>
      </w:r>
      <w:r w:rsidRPr="00463CAD">
        <w:rPr>
          <w:rFonts w:cs="Calibri"/>
        </w:rPr>
        <w:t>, altresì, il presente atto nei modi e nei termini di cui alla legge n. 190/2012 e al d.lgs. n. 33/2013 in tema di amministrazione trasparente;</w:t>
      </w:r>
    </w:p>
    <w:p w:rsidR="00463CAD" w:rsidRDefault="00583ABC" w:rsidP="00463CAD">
      <w:pPr>
        <w:numPr>
          <w:ilvl w:val="0"/>
          <w:numId w:val="13"/>
        </w:numPr>
        <w:tabs>
          <w:tab w:val="left" w:pos="284"/>
        </w:tabs>
        <w:autoSpaceDE w:val="0"/>
        <w:autoSpaceDN w:val="0"/>
        <w:adjustRightInd w:val="0"/>
        <w:spacing w:after="0"/>
        <w:ind w:left="0" w:firstLine="0"/>
        <w:jc w:val="both"/>
        <w:rPr>
          <w:rFonts w:cs="Calibri"/>
        </w:rPr>
      </w:pPr>
      <w:r w:rsidRPr="00463CAD">
        <w:rPr>
          <w:rFonts w:cs="Calibri"/>
          <w:b/>
          <w:bCs/>
        </w:rPr>
        <w:t xml:space="preserve">Di dare atto </w:t>
      </w:r>
      <w:r w:rsidRPr="00463CAD">
        <w:rPr>
          <w:rFonts w:cs="Calibri"/>
        </w:rPr>
        <w:t>che il presente provvedimento è impugnabile nei modi e nei termini di cui al d.lgs. n. 104/2010 e s.m.i. - c.p.a. innanzi all’A.G. competente;</w:t>
      </w:r>
    </w:p>
    <w:p w:rsidR="00583ABC" w:rsidRDefault="00583ABC" w:rsidP="00463CAD">
      <w:pPr>
        <w:numPr>
          <w:ilvl w:val="0"/>
          <w:numId w:val="13"/>
        </w:numPr>
        <w:tabs>
          <w:tab w:val="left" w:pos="284"/>
        </w:tabs>
        <w:autoSpaceDE w:val="0"/>
        <w:autoSpaceDN w:val="0"/>
        <w:adjustRightInd w:val="0"/>
        <w:spacing w:after="0"/>
        <w:ind w:left="0" w:firstLine="0"/>
        <w:jc w:val="both"/>
        <w:rPr>
          <w:rFonts w:cs="Calibri"/>
        </w:rPr>
      </w:pPr>
      <w:r w:rsidRPr="00463CAD">
        <w:rPr>
          <w:rFonts w:cs="Calibri"/>
          <w:b/>
          <w:bCs/>
        </w:rPr>
        <w:t xml:space="preserve">Di dare atto </w:t>
      </w:r>
      <w:r w:rsidRPr="00463CAD">
        <w:rPr>
          <w:rFonts w:cs="Calibri"/>
        </w:rPr>
        <w:t>che la presente Determinazione Dirigenziale, ha efficacia dalla data del parere di regolarità contabile;</w:t>
      </w:r>
    </w:p>
    <w:p w:rsidR="00463CAD" w:rsidRDefault="00463CAD" w:rsidP="00463CAD">
      <w:pPr>
        <w:tabs>
          <w:tab w:val="left" w:pos="284"/>
        </w:tabs>
        <w:autoSpaceDE w:val="0"/>
        <w:autoSpaceDN w:val="0"/>
        <w:adjustRightInd w:val="0"/>
        <w:spacing w:after="0"/>
        <w:ind w:left="0"/>
        <w:jc w:val="both"/>
        <w:rPr>
          <w:rFonts w:cs="Calibri"/>
          <w:b/>
          <w:bCs/>
        </w:rPr>
      </w:pPr>
    </w:p>
    <w:p w:rsidR="00463CAD" w:rsidRDefault="00463CAD" w:rsidP="00463CAD">
      <w:pPr>
        <w:tabs>
          <w:tab w:val="left" w:pos="284"/>
        </w:tabs>
        <w:autoSpaceDE w:val="0"/>
        <w:autoSpaceDN w:val="0"/>
        <w:adjustRightInd w:val="0"/>
        <w:spacing w:after="0"/>
        <w:ind w:left="0"/>
        <w:jc w:val="both"/>
        <w:rPr>
          <w:rFonts w:cs="Calibri"/>
          <w:b/>
          <w:bCs/>
        </w:rPr>
      </w:pPr>
    </w:p>
    <w:p w:rsidR="00463CAD" w:rsidRPr="00463CAD" w:rsidRDefault="00463CAD" w:rsidP="00463CAD">
      <w:pPr>
        <w:tabs>
          <w:tab w:val="left" w:pos="284"/>
        </w:tabs>
        <w:autoSpaceDE w:val="0"/>
        <w:autoSpaceDN w:val="0"/>
        <w:adjustRightInd w:val="0"/>
        <w:spacing w:after="0"/>
        <w:ind w:left="0"/>
        <w:jc w:val="both"/>
        <w:rPr>
          <w:rFonts w:cs="Calibri"/>
        </w:rPr>
      </w:pPr>
    </w:p>
    <w:tbl>
      <w:tblPr>
        <w:tblW w:w="0" w:type="auto"/>
        <w:tblLook w:val="04A0"/>
      </w:tblPr>
      <w:tblGrid>
        <w:gridCol w:w="4889"/>
        <w:gridCol w:w="4889"/>
      </w:tblGrid>
      <w:tr w:rsidR="00583ABC">
        <w:tc>
          <w:tcPr>
            <w:tcW w:w="4889" w:type="dxa"/>
            <w:shd w:val="clear" w:color="auto" w:fill="auto"/>
          </w:tcPr>
          <w:p w:rsidR="00583ABC" w:rsidRDefault="00583ABC">
            <w:pPr>
              <w:autoSpaceDE w:val="0"/>
              <w:autoSpaceDN w:val="0"/>
              <w:adjustRightInd w:val="0"/>
              <w:spacing w:after="0"/>
              <w:ind w:left="0"/>
              <w:rPr>
                <w:rFonts w:cs="Calibri"/>
                <w:b/>
                <w:bCs/>
              </w:rPr>
            </w:pPr>
            <w:r>
              <w:rPr>
                <w:rFonts w:cs="Calibri"/>
                <w:b/>
                <w:bCs/>
              </w:rPr>
              <w:t>Il Responsabile del procedimento</w:t>
            </w:r>
          </w:p>
          <w:p w:rsidR="00583ABC" w:rsidRDefault="00583ABC">
            <w:pPr>
              <w:autoSpaceDE w:val="0"/>
              <w:autoSpaceDN w:val="0"/>
              <w:adjustRightInd w:val="0"/>
              <w:spacing w:after="0"/>
              <w:ind w:left="0"/>
              <w:rPr>
                <w:rFonts w:cs="Calibri"/>
              </w:rPr>
            </w:pPr>
            <w:r>
              <w:rPr>
                <w:rFonts w:cs="Calibri"/>
              </w:rPr>
              <w:t>Graziana PISARRA</w:t>
            </w:r>
          </w:p>
        </w:tc>
        <w:tc>
          <w:tcPr>
            <w:tcW w:w="4889" w:type="dxa"/>
            <w:shd w:val="clear" w:color="auto" w:fill="auto"/>
          </w:tcPr>
          <w:p w:rsidR="00583ABC" w:rsidRDefault="00583ABC">
            <w:pPr>
              <w:autoSpaceDE w:val="0"/>
              <w:autoSpaceDN w:val="0"/>
              <w:adjustRightInd w:val="0"/>
              <w:spacing w:after="0"/>
              <w:ind w:left="-349" w:firstLine="142"/>
              <w:rPr>
                <w:rFonts w:cs="Calibri"/>
                <w:b/>
                <w:bCs/>
              </w:rPr>
            </w:pPr>
            <w:r>
              <w:rPr>
                <w:rFonts w:cs="Calibri"/>
                <w:b/>
                <w:bCs/>
              </w:rPr>
              <w:t>Il Responsabile del Settore III</w:t>
            </w:r>
          </w:p>
          <w:p w:rsidR="00583ABC" w:rsidRDefault="00583ABC">
            <w:pPr>
              <w:spacing w:after="0"/>
              <w:ind w:left="-349" w:firstLine="142"/>
              <w:rPr>
                <w:rFonts w:cs="Calibri"/>
                <w:b/>
                <w:bCs/>
              </w:rPr>
            </w:pPr>
            <w:r>
              <w:rPr>
                <w:rFonts w:cs="Calibri"/>
              </w:rPr>
              <w:t>Arch. Maria Addolorata Fedele</w:t>
            </w:r>
          </w:p>
          <w:p w:rsidR="00583ABC" w:rsidRDefault="00583ABC">
            <w:pPr>
              <w:autoSpaceDE w:val="0"/>
              <w:autoSpaceDN w:val="0"/>
              <w:adjustRightInd w:val="0"/>
              <w:ind w:left="0"/>
              <w:jc w:val="both"/>
              <w:rPr>
                <w:rFonts w:cs="Calibri"/>
              </w:rPr>
            </w:pPr>
          </w:p>
        </w:tc>
      </w:tr>
    </w:tbl>
    <w:p w:rsidR="00583ABC" w:rsidRPr="002117E1" w:rsidRDefault="00583ABC" w:rsidP="00583ABC">
      <w:pPr>
        <w:autoSpaceDE w:val="0"/>
        <w:autoSpaceDN w:val="0"/>
        <w:adjustRightInd w:val="0"/>
        <w:ind w:left="0"/>
        <w:jc w:val="both"/>
        <w:rPr>
          <w:rFonts w:cs="Calibri"/>
        </w:rPr>
      </w:pPr>
    </w:p>
    <w:sectPr w:rsidR="00583ABC" w:rsidRPr="002117E1" w:rsidSect="00281531">
      <w:pgSz w:w="11906" w:h="16838"/>
      <w:pgMar w:top="82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E2F" w:rsidRDefault="00BB2E2F" w:rsidP="00AC71CB">
      <w:pPr>
        <w:spacing w:after="0"/>
      </w:pPr>
      <w:r>
        <w:separator/>
      </w:r>
    </w:p>
  </w:endnote>
  <w:endnote w:type="continuationSeparator" w:id="1">
    <w:p w:rsidR="00BB2E2F" w:rsidRDefault="00BB2E2F" w:rsidP="00AC71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E2F" w:rsidRDefault="00BB2E2F" w:rsidP="00AC71CB">
      <w:pPr>
        <w:spacing w:after="0"/>
      </w:pPr>
      <w:r>
        <w:separator/>
      </w:r>
    </w:p>
  </w:footnote>
  <w:footnote w:type="continuationSeparator" w:id="1">
    <w:p w:rsidR="00BB2E2F" w:rsidRDefault="00BB2E2F" w:rsidP="00AC71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BC5"/>
    <w:multiLevelType w:val="hybridMultilevel"/>
    <w:tmpl w:val="CD188EE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D4657D7"/>
    <w:multiLevelType w:val="hybridMultilevel"/>
    <w:tmpl w:val="52C6E7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E874D1"/>
    <w:multiLevelType w:val="hybridMultilevel"/>
    <w:tmpl w:val="A4A86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1017C1"/>
    <w:multiLevelType w:val="hybridMultilevel"/>
    <w:tmpl w:val="13E49702"/>
    <w:lvl w:ilvl="0" w:tplc="B5922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2D27BE"/>
    <w:multiLevelType w:val="hybridMultilevel"/>
    <w:tmpl w:val="4D0C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7B0C80"/>
    <w:multiLevelType w:val="hybridMultilevel"/>
    <w:tmpl w:val="5A54B3D2"/>
    <w:lvl w:ilvl="0" w:tplc="B5922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801684"/>
    <w:multiLevelType w:val="hybridMultilevel"/>
    <w:tmpl w:val="E1228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712C00"/>
    <w:multiLevelType w:val="hybridMultilevel"/>
    <w:tmpl w:val="7D7A4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7F7C15"/>
    <w:multiLevelType w:val="hybridMultilevel"/>
    <w:tmpl w:val="133E9F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341443"/>
    <w:multiLevelType w:val="hybridMultilevel"/>
    <w:tmpl w:val="F29C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BD097D"/>
    <w:multiLevelType w:val="hybridMultilevel"/>
    <w:tmpl w:val="CD04C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4B56A0"/>
    <w:multiLevelType w:val="hybridMultilevel"/>
    <w:tmpl w:val="1FC29D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B5517B"/>
    <w:multiLevelType w:val="hybridMultilevel"/>
    <w:tmpl w:val="B170A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06485D"/>
    <w:multiLevelType w:val="hybridMultilevel"/>
    <w:tmpl w:val="97308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571F53"/>
    <w:multiLevelType w:val="hybridMultilevel"/>
    <w:tmpl w:val="E8E88D92"/>
    <w:lvl w:ilvl="0" w:tplc="C0D895B0">
      <w:start w:val="1"/>
      <w:numFmt w:val="decimal"/>
      <w:lvlText w:val="%1."/>
      <w:lvlJc w:val="left"/>
      <w:pPr>
        <w:ind w:left="2771" w:hanging="360"/>
      </w:pPr>
      <w:rPr>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0"/>
  </w:num>
  <w:num w:numId="5">
    <w:abstractNumId w:val="9"/>
  </w:num>
  <w:num w:numId="6">
    <w:abstractNumId w:val="12"/>
  </w:num>
  <w:num w:numId="7">
    <w:abstractNumId w:val="6"/>
  </w:num>
  <w:num w:numId="8">
    <w:abstractNumId w:val="3"/>
  </w:num>
  <w:num w:numId="9">
    <w:abstractNumId w:val="5"/>
  </w:num>
  <w:num w:numId="10">
    <w:abstractNumId w:val="10"/>
  </w:num>
  <w:num w:numId="11">
    <w:abstractNumId w:val="4"/>
  </w:num>
  <w:num w:numId="12">
    <w:abstractNumId w:val="1"/>
  </w:num>
  <w:num w:numId="13">
    <w:abstractNumId w:val="14"/>
  </w:num>
  <w:num w:numId="14">
    <w:abstractNumId w:val="11"/>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1CB"/>
    <w:rsid w:val="00012C7B"/>
    <w:rsid w:val="000176BE"/>
    <w:rsid w:val="000200A6"/>
    <w:rsid w:val="00083253"/>
    <w:rsid w:val="000B0B31"/>
    <w:rsid w:val="000F1278"/>
    <w:rsid w:val="0011131C"/>
    <w:rsid w:val="001352E2"/>
    <w:rsid w:val="001744F9"/>
    <w:rsid w:val="00244C64"/>
    <w:rsid w:val="002513F7"/>
    <w:rsid w:val="002660DB"/>
    <w:rsid w:val="00271F4F"/>
    <w:rsid w:val="00281531"/>
    <w:rsid w:val="002B0DDB"/>
    <w:rsid w:val="002E3F5F"/>
    <w:rsid w:val="002F31A2"/>
    <w:rsid w:val="00301866"/>
    <w:rsid w:val="003020FB"/>
    <w:rsid w:val="00341E04"/>
    <w:rsid w:val="003748FD"/>
    <w:rsid w:val="00385E81"/>
    <w:rsid w:val="003A17B4"/>
    <w:rsid w:val="003C6042"/>
    <w:rsid w:val="003F1589"/>
    <w:rsid w:val="0042522C"/>
    <w:rsid w:val="004506AB"/>
    <w:rsid w:val="00463CAD"/>
    <w:rsid w:val="00475984"/>
    <w:rsid w:val="004C2F1E"/>
    <w:rsid w:val="0050676E"/>
    <w:rsid w:val="005319F2"/>
    <w:rsid w:val="00544B97"/>
    <w:rsid w:val="00583ABC"/>
    <w:rsid w:val="005A0245"/>
    <w:rsid w:val="005A78D0"/>
    <w:rsid w:val="005B02F4"/>
    <w:rsid w:val="0064177C"/>
    <w:rsid w:val="00642393"/>
    <w:rsid w:val="0065450E"/>
    <w:rsid w:val="0068298E"/>
    <w:rsid w:val="006A20B0"/>
    <w:rsid w:val="006A75DA"/>
    <w:rsid w:val="006C362C"/>
    <w:rsid w:val="006D5F24"/>
    <w:rsid w:val="00716DA9"/>
    <w:rsid w:val="00725902"/>
    <w:rsid w:val="007800DD"/>
    <w:rsid w:val="007A24A8"/>
    <w:rsid w:val="007B0759"/>
    <w:rsid w:val="007B52BD"/>
    <w:rsid w:val="007C2136"/>
    <w:rsid w:val="007D0910"/>
    <w:rsid w:val="0080392F"/>
    <w:rsid w:val="0080594A"/>
    <w:rsid w:val="008121BE"/>
    <w:rsid w:val="00846F5C"/>
    <w:rsid w:val="0086297B"/>
    <w:rsid w:val="00866902"/>
    <w:rsid w:val="008B2303"/>
    <w:rsid w:val="008C09AC"/>
    <w:rsid w:val="008D0922"/>
    <w:rsid w:val="008F0BBA"/>
    <w:rsid w:val="008F79E1"/>
    <w:rsid w:val="0093620F"/>
    <w:rsid w:val="00936E87"/>
    <w:rsid w:val="009559AC"/>
    <w:rsid w:val="009728C4"/>
    <w:rsid w:val="009854CE"/>
    <w:rsid w:val="00993965"/>
    <w:rsid w:val="009A7AD7"/>
    <w:rsid w:val="009D0E5D"/>
    <w:rsid w:val="009E168F"/>
    <w:rsid w:val="009F6655"/>
    <w:rsid w:val="009F7C5D"/>
    <w:rsid w:val="00A1129F"/>
    <w:rsid w:val="00AC5166"/>
    <w:rsid w:val="00AC71CB"/>
    <w:rsid w:val="00AE6DF0"/>
    <w:rsid w:val="00AE7569"/>
    <w:rsid w:val="00B01E5D"/>
    <w:rsid w:val="00B05D57"/>
    <w:rsid w:val="00B31BE7"/>
    <w:rsid w:val="00B6191F"/>
    <w:rsid w:val="00BB2E2F"/>
    <w:rsid w:val="00BF0D16"/>
    <w:rsid w:val="00C30617"/>
    <w:rsid w:val="00C35794"/>
    <w:rsid w:val="00C46853"/>
    <w:rsid w:val="00CF1B84"/>
    <w:rsid w:val="00CF4BC1"/>
    <w:rsid w:val="00CF5A7A"/>
    <w:rsid w:val="00D42C7B"/>
    <w:rsid w:val="00D5522F"/>
    <w:rsid w:val="00DC0702"/>
    <w:rsid w:val="00DE1548"/>
    <w:rsid w:val="00E06065"/>
    <w:rsid w:val="00E14BA8"/>
    <w:rsid w:val="00E238DC"/>
    <w:rsid w:val="00E33A26"/>
    <w:rsid w:val="00E466A2"/>
    <w:rsid w:val="00E75F5F"/>
    <w:rsid w:val="00E94704"/>
    <w:rsid w:val="00EE6267"/>
    <w:rsid w:val="00EF6950"/>
    <w:rsid w:val="00F43F2E"/>
    <w:rsid w:val="00F46D89"/>
    <w:rsid w:val="00F51F58"/>
    <w:rsid w:val="00F63983"/>
    <w:rsid w:val="00F641AA"/>
    <w:rsid w:val="00F70399"/>
    <w:rsid w:val="00F94D4A"/>
    <w:rsid w:val="00F96B7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702"/>
    <w:pPr>
      <w:spacing w:after="200"/>
      <w:ind w:left="5954"/>
      <w:jc w:val="center"/>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C71CB"/>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AC71CB"/>
  </w:style>
  <w:style w:type="paragraph" w:styleId="Pidipagina">
    <w:name w:val="footer"/>
    <w:basedOn w:val="Normale"/>
    <w:link w:val="PidipaginaCarattere"/>
    <w:uiPriority w:val="99"/>
    <w:semiHidden/>
    <w:unhideWhenUsed/>
    <w:rsid w:val="00AC71CB"/>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AC71CB"/>
  </w:style>
  <w:style w:type="paragraph" w:styleId="Paragrafoelenco">
    <w:name w:val="List Paragraph"/>
    <w:basedOn w:val="Normale"/>
    <w:uiPriority w:val="34"/>
    <w:qFormat/>
    <w:rsid w:val="00CF5A7A"/>
    <w:pPr>
      <w:ind w:left="720"/>
      <w:contextualSpacing/>
    </w:pPr>
  </w:style>
  <w:style w:type="character" w:styleId="Collegamentoipertestuale">
    <w:name w:val="Hyperlink"/>
    <w:uiPriority w:val="99"/>
    <w:unhideWhenUsed/>
    <w:rsid w:val="00385E81"/>
    <w:rPr>
      <w:color w:val="0000FF"/>
      <w:u w:val="single"/>
    </w:rPr>
  </w:style>
  <w:style w:type="table" w:styleId="Grigliatabella">
    <w:name w:val="Table Grid"/>
    <w:basedOn w:val="Tabellanormale"/>
    <w:uiPriority w:val="59"/>
    <w:rsid w:val="003A1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583ABC"/>
    <w:pPr>
      <w:spacing w:before="100" w:beforeAutospacing="1" w:after="100" w:afterAutospacing="1"/>
      <w:ind w:left="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comune.fragagnano.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7158-57A6-477F-98CC-F9966D3A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6901</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8095</CharactersWithSpaces>
  <SharedDoc>false</SharedDoc>
  <HLinks>
    <vt:vector size="6" baseType="variant">
      <vt:variant>
        <vt:i4>5767260</vt:i4>
      </vt:variant>
      <vt:variant>
        <vt:i4>0</vt:i4>
      </vt:variant>
      <vt:variant>
        <vt:i4>0</vt:i4>
      </vt:variant>
      <vt:variant>
        <vt:i4>5</vt:i4>
      </vt:variant>
      <vt:variant>
        <vt:lpwstr>https://www.comune.fragagnano.ta.it/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Labrini</dc:creator>
  <cp:lastModifiedBy>annapaola</cp:lastModifiedBy>
  <cp:revision>2</cp:revision>
  <cp:lastPrinted>2022-08-29T08:14:00Z</cp:lastPrinted>
  <dcterms:created xsi:type="dcterms:W3CDTF">2022-10-25T08:55:00Z</dcterms:created>
  <dcterms:modified xsi:type="dcterms:W3CDTF">2022-10-25T08:55:00Z</dcterms:modified>
</cp:coreProperties>
</file>